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548DD4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36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36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36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0" w:line="240"/>
        <w:ind w:right="0" w:left="0" w:firstLine="36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6"/>
          <w:shd w:fill="auto" w:val="clear"/>
        </w:rPr>
      </w:pP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hanging="284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object w:dxaOrig="8524" w:dyaOrig="4684">
          <v:rect xmlns:o="urn:schemas-microsoft-com:office:office" xmlns:v="urn:schemas-microsoft-com:vml" id="rectole0000000000" style="width:426.200000pt;height:234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708"/>
        <w:jc w:val="center"/>
        <w:rPr>
          <w:rFonts w:ascii="Times New Roman" w:hAnsi="Times New Roman" w:cs="Times New Roman" w:eastAsia="Times New Roman"/>
          <w:b/>
          <w:color w:val="DF680F"/>
          <w:spacing w:val="0"/>
          <w:position w:val="0"/>
          <w:sz w:val="50"/>
          <w:shd w:fill="auto" w:val="clear"/>
        </w:rPr>
      </w:pPr>
    </w:p>
    <w:p>
      <w:pPr>
        <w:spacing w:before="0" w:after="200" w:line="240"/>
        <w:ind w:right="0" w:left="0" w:firstLine="708"/>
        <w:jc w:val="left"/>
        <w:rPr>
          <w:rFonts w:ascii="Times New Roman" w:hAnsi="Times New Roman" w:cs="Times New Roman" w:eastAsia="Times New Roman"/>
          <w:b/>
          <w:color w:val="DF680F"/>
          <w:spacing w:val="0"/>
          <w:position w:val="0"/>
          <w:sz w:val="5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DF680F"/>
          <w:spacing w:val="0"/>
          <w:position w:val="0"/>
          <w:sz w:val="50"/>
          <w:shd w:fill="auto" w:val="clear"/>
        </w:rPr>
        <w:t xml:space="preserve">  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Уважаемые жители Знаменского муниципального образования.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Бюджет для граждан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Бюджет для граждан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предназначен, прежде всего, для жителей, не обладающих специальными знаниями в сфере бюджетного законодательства. Информация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Бюджет для граждан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доступной форме знакомит граждан с основными характеристиками бюджета Знаменского муниципального образования.</w:t>
      </w:r>
    </w:p>
    <w:p>
      <w:pPr>
        <w:spacing w:before="0" w:after="200" w:line="240"/>
        <w:ind w:right="0" w:left="0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Бюджетный процесс - ежегодное формирование и исполнение бюджета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9388" w:dyaOrig="6496">
          <v:rect xmlns:o="urn:schemas-microsoft-com:office:office" xmlns:v="urn:schemas-microsoft-com:vml" id="rectole0000000001" style="width:469.400000pt;height:324.8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Что такое бюджет?</w:t>
      </w:r>
    </w:p>
    <w:p>
      <w:pPr>
        <w:spacing w:before="0" w:after="200" w:line="240"/>
        <w:ind w:right="0" w:left="0" w:firstLine="142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object w:dxaOrig="9100" w:dyaOrig="6825">
          <v:rect xmlns:o="urn:schemas-microsoft-com:office:office" xmlns:v="urn:schemas-microsoft-com:vml" id="rectole0000000002" style="width:455.000000pt;height:341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-426" w:firstLine="426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9518" w:dyaOrig="5572">
          <v:rect xmlns:o="urn:schemas-microsoft-com:office:office" xmlns:v="urn:schemas-microsoft-com:vml" id="rectole0000000003" style="width:475.900000pt;height:278.6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Бюджет Знаменского муниципального образования  </w:t>
      </w:r>
    </w:p>
    <w:p>
      <w:pPr>
        <w:spacing w:before="0" w:after="0" w:line="240"/>
        <w:ind w:right="0" w:left="7080" w:firstLine="708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тыс. руб.</w:t>
      </w:r>
    </w:p>
    <w:tbl>
      <w:tblPr/>
      <w:tblGrid>
        <w:gridCol w:w="4361"/>
        <w:gridCol w:w="1843"/>
        <w:gridCol w:w="1701"/>
        <w:gridCol w:w="1634"/>
      </w:tblGrid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Показатели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Отчет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2018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Оценка 2019год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2020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Доходы, в том числе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3053,5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3979,2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2509,7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Налоговые, неналоговые доходы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2728,0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2784,9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2229,4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Безвозмездные поступления 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325,5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1194,3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280,3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Расходы, в том числе 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3895,6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4607,5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2509,7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Общегосударственные вопросы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2145,9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2364,5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1809,2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безопасность и правоохранительная деятельность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130,0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ЖКХ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456,0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1660,7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260,0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экономика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88,7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85,0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оборона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182,6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207,3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202,5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Другие расходы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1022,4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160,0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168,0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Баланс (доходы-расходы)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(-)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Дефицит или профицит(+)</w:t>
            </w:r>
          </w:p>
        </w:tc>
        <w:tc>
          <w:tcPr>
            <w:tcW w:w="184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-842,1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-628,3</w:t>
            </w:r>
          </w:p>
        </w:tc>
        <w:tc>
          <w:tcPr>
            <w:tcW w:w="163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</w:p>
        </w:tc>
      </w:tr>
    </w:tbl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Зачем нужны бюджеты?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Ос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auto" w:val="clear"/>
        </w:rPr>
        <w:t xml:space="preserve">н</w:t>
      </w:r>
      <w:r>
        <w:rPr>
          <w:rFonts w:ascii="Times New Roman" w:hAnsi="Times New Roman" w:cs="Times New Roman" w:eastAsia="Times New Roman"/>
          <w:b/>
          <w:color w:val="404040"/>
          <w:spacing w:val="-9"/>
          <w:position w:val="-1"/>
          <w:sz w:val="32"/>
          <w:shd w:fill="auto" w:val="clear"/>
        </w:rPr>
        <w:t xml:space="preserve">о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auto" w:val="clear"/>
        </w:rPr>
        <w:t xml:space="preserve">н</w:t>
      </w:r>
      <w:r>
        <w:rPr>
          <w:rFonts w:ascii="Times New Roman" w:hAnsi="Times New Roman" w:cs="Times New Roman" w:eastAsia="Times New Roman"/>
          <w:b/>
          <w:color w:val="404040"/>
          <w:spacing w:val="-1"/>
          <w:position w:val="-1"/>
          <w:sz w:val="32"/>
          <w:shd w:fill="auto" w:val="clear"/>
        </w:rPr>
        <w:t xml:space="preserve">ы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b/>
          <w:color w:val="404040"/>
          <w:spacing w:val="-7"/>
          <w:position w:val="-1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404040"/>
          <w:spacing w:val="-4"/>
          <w:position w:val="-1"/>
          <w:sz w:val="32"/>
          <w:shd w:fill="auto" w:val="clear"/>
        </w:rPr>
        <w:t xml:space="preserve">х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ар</w:t>
      </w:r>
      <w:r>
        <w:rPr>
          <w:rFonts w:ascii="Times New Roman" w:hAnsi="Times New Roman" w:cs="Times New Roman" w:eastAsia="Times New Roman"/>
          <w:b/>
          <w:color w:val="404040"/>
          <w:spacing w:val="2"/>
          <w:position w:val="-1"/>
          <w:sz w:val="32"/>
          <w:shd w:fill="auto" w:val="clear"/>
        </w:rPr>
        <w:t xml:space="preserve">а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404040"/>
          <w:spacing w:val="-3"/>
          <w:position w:val="-1"/>
          <w:sz w:val="32"/>
          <w:shd w:fill="auto" w:val="clear"/>
        </w:rPr>
        <w:t xml:space="preserve">т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ер</w:t>
      </w:r>
      <w:r>
        <w:rPr>
          <w:rFonts w:ascii="Times New Roman" w:hAnsi="Times New Roman" w:cs="Times New Roman" w:eastAsia="Times New Roman"/>
          <w:b/>
          <w:color w:val="404040"/>
          <w:spacing w:val="-1"/>
          <w:position w:val="-1"/>
          <w:sz w:val="32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с</w:t>
      </w:r>
      <w:r>
        <w:rPr>
          <w:rFonts w:ascii="Times New Roman" w:hAnsi="Times New Roman" w:cs="Times New Roman" w:eastAsia="Times New Roman"/>
          <w:b/>
          <w:color w:val="404040"/>
          <w:spacing w:val="-3"/>
          <w:position w:val="-1"/>
          <w:sz w:val="32"/>
          <w:shd w:fill="auto" w:val="clear"/>
        </w:rPr>
        <w:t xml:space="preserve">т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auto" w:val="clear"/>
        </w:rPr>
        <w:t xml:space="preserve">к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и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б</w:t>
      </w:r>
      <w:r>
        <w:rPr>
          <w:rFonts w:ascii="Times New Roman" w:hAnsi="Times New Roman" w:cs="Times New Roman" w:eastAsia="Times New Roman"/>
          <w:b/>
          <w:color w:val="404040"/>
          <w:spacing w:val="-22"/>
          <w:position w:val="-1"/>
          <w:sz w:val="32"/>
          <w:shd w:fill="auto" w:val="clear"/>
        </w:rPr>
        <w:t xml:space="preserve">ю</w:t>
      </w:r>
      <w:r>
        <w:rPr>
          <w:rFonts w:ascii="Times New Roman" w:hAnsi="Times New Roman" w:cs="Times New Roman" w:eastAsia="Times New Roman"/>
          <w:b/>
          <w:color w:val="404040"/>
          <w:spacing w:val="-2"/>
          <w:position w:val="-1"/>
          <w:sz w:val="32"/>
          <w:shd w:fill="auto" w:val="clear"/>
        </w:rPr>
        <w:t xml:space="preserve">д</w:t>
      </w:r>
      <w:r>
        <w:rPr>
          <w:rFonts w:ascii="Times New Roman" w:hAnsi="Times New Roman" w:cs="Times New Roman" w:eastAsia="Times New Roman"/>
          <w:b/>
          <w:color w:val="404040"/>
          <w:spacing w:val="-5"/>
          <w:position w:val="-1"/>
          <w:sz w:val="32"/>
          <w:shd w:fill="auto" w:val="clear"/>
        </w:rPr>
        <w:t xml:space="preserve">ж</w:t>
      </w:r>
      <w:r>
        <w:rPr>
          <w:rFonts w:ascii="Times New Roman" w:hAnsi="Times New Roman" w:cs="Times New Roman" w:eastAsia="Times New Roman"/>
          <w:b/>
          <w:color w:val="404040"/>
          <w:spacing w:val="0"/>
          <w:position w:val="-1"/>
          <w:sz w:val="32"/>
          <w:shd w:fill="auto" w:val="clear"/>
        </w:rPr>
        <w:t xml:space="preserve">е</w:t>
      </w:r>
      <w:r>
        <w:rPr>
          <w:rFonts w:ascii="Times New Roman" w:hAnsi="Times New Roman" w:cs="Times New Roman" w:eastAsia="Times New Roman"/>
          <w:b/>
          <w:color w:val="404040"/>
          <w:spacing w:val="-8"/>
          <w:position w:val="-1"/>
          <w:sz w:val="32"/>
          <w:shd w:fill="auto" w:val="clear"/>
        </w:rPr>
        <w:t xml:space="preserve">т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Доходы бюджета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9518" w:dyaOrig="4507">
          <v:rect xmlns:o="urn:schemas-microsoft-com:office:office" xmlns:v="urn:schemas-microsoft-com:vml" id="rectole0000000004" style="width:475.900000pt;height:225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Межбюджетные трансферты - основной вид безвозмездных перечислений</w:t>
      </w:r>
    </w:p>
    <w:p>
      <w:pPr>
        <w:spacing w:before="0" w:after="20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9518" w:dyaOrig="6307">
          <v:rect xmlns:o="urn:schemas-microsoft-com:office:office" xmlns:v="urn:schemas-microsoft-com:vml" id="rectole0000000005" style="width:475.900000pt;height:315.3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Федеральные, региональные и местные налоги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FFFF00" w:val="clear"/>
        </w:rPr>
      </w:pPr>
      <w:r>
        <w:object w:dxaOrig="9446" w:dyaOrig="6667">
          <v:rect xmlns:o="urn:schemas-microsoft-com:office:office" xmlns:v="urn:schemas-microsoft-com:vml" id="rectole0000000006" style="width:472.300000pt;height:333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Налоги, зачисляемые в бюджет муниципального образования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в 2020 году</w:t>
      </w:r>
    </w:p>
    <w:tbl>
      <w:tblPr/>
      <w:tblGrid>
        <w:gridCol w:w="3190"/>
        <w:gridCol w:w="3190"/>
        <w:gridCol w:w="3191"/>
      </w:tblGrid>
      <w:tr>
        <w:trPr>
          <w:trHeight w:val="1" w:hRule="atLeast"/>
          <w:jc w:val="left"/>
        </w:trPr>
        <w:tc>
          <w:tcPr>
            <w:tcW w:w="31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5050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Налог на доходы физических лиц</w:t>
            </w:r>
          </w:p>
        </w:tc>
        <w:tc>
          <w:tcPr>
            <w:tcW w:w="319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99ff33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Налог на имущество физических лиц</w:t>
            </w:r>
          </w:p>
        </w:tc>
        <w:tc>
          <w:tcPr>
            <w:tcW w:w="319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Земельный налог</w:t>
            </w:r>
          </w:p>
        </w:tc>
      </w:tr>
      <w:tr>
        <w:trPr>
          <w:trHeight w:val="2153" w:hRule="auto"/>
          <w:jc w:val="left"/>
        </w:trPr>
        <w:tc>
          <w:tcPr>
            <w:tcW w:w="9571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        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        3 %                                    100 %                                      100 %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</w:tr>
      <w:tr>
        <w:trPr>
          <w:trHeight w:val="419" w:hRule="auto"/>
          <w:jc w:val="left"/>
        </w:trPr>
        <w:tc>
          <w:tcPr>
            <w:tcW w:w="9571" w:type="dxa"/>
            <w:gridSpan w:val="3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ffff99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76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Местный бюджет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0"/>
          <w:shd w:fill="auto" w:val="clear"/>
        </w:rPr>
        <w:t xml:space="preserve">Структура доходов бюджета Знаменского муниципального образования </w:t>
      </w:r>
    </w:p>
    <w:p>
      <w:pPr>
        <w:tabs>
          <w:tab w:val="left" w:pos="4020" w:leader="none"/>
          <w:tab w:val="center" w:pos="4677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тыс. руб.</w:t>
      </w:r>
    </w:p>
    <w:tbl>
      <w:tblPr>
        <w:tblInd w:w="93" w:type="dxa"/>
      </w:tblPr>
      <w:tblGrid>
        <w:gridCol w:w="5007"/>
        <w:gridCol w:w="1812"/>
        <w:gridCol w:w="1664"/>
        <w:gridCol w:w="1465"/>
      </w:tblGrid>
      <w:tr>
        <w:trPr>
          <w:trHeight w:val="322" w:hRule="auto"/>
          <w:jc w:val="left"/>
        </w:trPr>
        <w:tc>
          <w:tcPr>
            <w:tcW w:w="500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Наименование доходов</w:t>
            </w:r>
          </w:p>
        </w:tc>
        <w:tc>
          <w:tcPr>
            <w:tcW w:w="181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Отчет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2018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  <w:tc>
          <w:tcPr>
            <w:tcW w:w="1664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Оценка 2019 год</w:t>
            </w:r>
          </w:p>
        </w:tc>
        <w:tc>
          <w:tcPr>
            <w:tcW w:w="146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2020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</w:t>
            </w:r>
          </w:p>
        </w:tc>
      </w:tr>
      <w:tr>
        <w:trPr>
          <w:trHeight w:val="555" w:hRule="auto"/>
          <w:jc w:val="left"/>
        </w:trPr>
        <w:tc>
          <w:tcPr>
            <w:tcW w:w="500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708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1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708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64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708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40"/>
              <w:ind w:right="0" w:left="0" w:firstLine="708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Налоговые доходы всего: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2722,0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2782,9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2218,7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 том числе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налог на доходы физических лиц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936,9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845,0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695,8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единый сельскохозяйственный налог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5,6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5,9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налог на имущество физических лиц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319,6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432,3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176,5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земельный налог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1465,5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1500,0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1340,5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Неналоговые доходы всего: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6,0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2,0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10,7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 том числе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штрафы, санкции и возмещение ущерба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6,0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2,0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10,7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Безвозмездные поступления всего: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325,5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1194,3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280,3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в том числе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5" w:type="dxa"/>
            <w:tcBorders>
              <w:top w:val="single" w:color="000000" w:sz="0"/>
              <w:left w:val="single" w:color="000000" w:sz="0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22" w:hRule="auto"/>
          <w:jc w:val="left"/>
        </w:trPr>
        <w:tc>
          <w:tcPr>
            <w:tcW w:w="5007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дотации </w:t>
            </w:r>
          </w:p>
        </w:tc>
        <w:tc>
          <w:tcPr>
            <w:tcW w:w="1812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72,4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75,1</w:t>
            </w:r>
          </w:p>
        </w:tc>
        <w:tc>
          <w:tcPr>
            <w:tcW w:w="1465" w:type="dxa"/>
            <w:tcBorders>
              <w:top w:val="single" w:color="000000" w:sz="0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77,8</w:t>
            </w:r>
          </w:p>
        </w:tc>
      </w:tr>
      <w:tr>
        <w:trPr>
          <w:trHeight w:val="322" w:hRule="auto"/>
          <w:jc w:val="left"/>
        </w:trPr>
        <w:tc>
          <w:tcPr>
            <w:tcW w:w="50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субвенции </w:t>
            </w:r>
          </w:p>
        </w:tc>
        <w:tc>
          <w:tcPr>
            <w:tcW w:w="18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182,6</w:t>
            </w:r>
          </w:p>
        </w:tc>
        <w:tc>
          <w:tcPr>
            <w:tcW w:w="16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207,3</w:t>
            </w:r>
          </w:p>
        </w:tc>
        <w:tc>
          <w:tcPr>
            <w:tcW w:w="14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202,5</w:t>
            </w: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межбюджетные трансферты</w:t>
            </w:r>
          </w:p>
        </w:tc>
        <w:tc>
          <w:tcPr>
            <w:tcW w:w="18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8"/>
                <w:shd w:fill="auto" w:val="clear"/>
              </w:rPr>
              <w:t xml:space="preserve">70,4</w:t>
            </w:r>
          </w:p>
        </w:tc>
        <w:tc>
          <w:tcPr>
            <w:tcW w:w="16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40" w:hRule="auto"/>
          <w:jc w:val="left"/>
        </w:trPr>
        <w:tc>
          <w:tcPr>
            <w:tcW w:w="50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8"/>
                <w:shd w:fill="auto" w:val="clear"/>
              </w:rPr>
              <w:t xml:space="preserve">Итого доходов:</w:t>
            </w:r>
          </w:p>
        </w:tc>
        <w:tc>
          <w:tcPr>
            <w:tcW w:w="181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3053,5</w:t>
            </w:r>
          </w:p>
        </w:tc>
        <w:tc>
          <w:tcPr>
            <w:tcW w:w="16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3979,2</w:t>
            </w:r>
          </w:p>
        </w:tc>
        <w:tc>
          <w:tcPr>
            <w:tcW w:w="146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auto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2509,7</w:t>
            </w:r>
          </w:p>
        </w:tc>
      </w:tr>
    </w:tbl>
    <w:p>
      <w:pPr>
        <w:tabs>
          <w:tab w:val="left" w:pos="4020" w:leader="none"/>
          <w:tab w:val="center" w:pos="4677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020" w:leader="none"/>
          <w:tab w:val="center" w:pos="4677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020" w:leader="none"/>
          <w:tab w:val="center" w:pos="4677" w:leader="none"/>
        </w:tabs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Структура доходов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2018 году  доходы составили –   3053,5  тыс. руб.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Оценка доходов в 2019 году составила – 3979,2 тыс. руб.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Доходы бюджета в 2020 году составят – 2509,7 тыс. руб.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Доходы бюджета Знаменского муниципального образования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расчете на 1 жителя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численность населения Знаменского муниципального образования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на 01.01.19г. 1565 человек)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руб.</w:t>
      </w:r>
    </w:p>
    <w:tbl>
      <w:tblPr>
        <w:tblInd w:w="392" w:type="dxa"/>
      </w:tblPr>
      <w:tblGrid>
        <w:gridCol w:w="4961"/>
        <w:gridCol w:w="1701"/>
        <w:gridCol w:w="1418"/>
        <w:gridCol w:w="1559"/>
      </w:tblGrid>
      <w:tr>
        <w:trPr>
          <w:trHeight w:val="766" w:hRule="auto"/>
          <w:jc w:val="left"/>
        </w:trPr>
        <w:tc>
          <w:tcPr>
            <w:tcW w:w="49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 доходов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Отчет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2018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Оценка 2019 год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2020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</w:t>
            </w:r>
          </w:p>
        </w:tc>
      </w:tr>
      <w:tr>
        <w:trPr>
          <w:trHeight w:val="437" w:hRule="auto"/>
          <w:jc w:val="left"/>
        </w:trPr>
        <w:tc>
          <w:tcPr>
            <w:tcW w:w="49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Доходы всего, в том числе: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1951,0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2543,0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1604,0</w:t>
            </w:r>
          </w:p>
        </w:tc>
      </w:tr>
      <w:tr>
        <w:trPr>
          <w:trHeight w:val="430" w:hRule="auto"/>
          <w:jc w:val="left"/>
        </w:trPr>
        <w:tc>
          <w:tcPr>
            <w:tcW w:w="49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налоговые  и неналоговые доходы</w:t>
            </w:r>
          </w:p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1743,0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1780,0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1425,0</w:t>
            </w:r>
          </w:p>
        </w:tc>
      </w:tr>
      <w:tr>
        <w:trPr>
          <w:trHeight w:val="422" w:hRule="auto"/>
          <w:jc w:val="left"/>
        </w:trPr>
        <w:tc>
          <w:tcPr>
            <w:tcW w:w="49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безвозмездные поступления</w:t>
            </w:r>
          </w:p>
        </w:tc>
        <w:tc>
          <w:tcPr>
            <w:tcW w:w="17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208,0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763,0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4020" w:leader="none"/>
                <w:tab w:val="center" w:pos="4677" w:leader="none"/>
              </w:tabs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179,0</w:t>
            </w:r>
          </w:p>
        </w:tc>
      </w:tr>
    </w:tbl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Налоговые и неналоговые доходы бюджета муниципального образования  прогнозируются в сумме 2229,4 тыс. рублей.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Основными бюджетообразующими доходами бюджета муниципального образования  являются земельный налог, налог на доходы физических лиц и налог на имущество физических лиц.</w:t>
      </w: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670" w:dyaOrig="1108">
          <v:rect xmlns:o="urn:schemas-microsoft-com:office:office" xmlns:v="urn:schemas-microsoft-com:vml" id="rectole0000000007" style="width:83.500000pt;height:55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РАСХОДЫ.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Расходы бюджета – выплачиваемые из бюджета денежные средства.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В каких единицах измеряются параметры бюджетов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9446" w:dyaOrig="3456">
          <v:rect xmlns:o="urn:schemas-microsoft-com:office:office" xmlns:v="urn:schemas-microsoft-com:vml" id="rectole0000000008" style="width:472.300000pt;height:172.8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Расходы по основным функциям бюджета муниципального образования.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object w:dxaOrig="9518" w:dyaOrig="3369">
          <v:rect xmlns:o="urn:schemas-microsoft-com:office:office" xmlns:v="urn:schemas-microsoft-com:vml" id="rectole0000000009" style="width:475.900000pt;height:168.4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Структура расходов бюджета Знаменского муниципального образования по разделам в 2018-2020 годах.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ab/>
        <w:tab/>
        <w:tab/>
        <w:tab/>
        <w:tab/>
        <w:tab/>
        <w:tab/>
        <w:tab/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 xml:space="preserve">%</w:t>
      </w:r>
    </w:p>
    <w:tbl>
      <w:tblPr/>
      <w:tblGrid>
        <w:gridCol w:w="1063"/>
        <w:gridCol w:w="6021"/>
        <w:gridCol w:w="992"/>
        <w:gridCol w:w="1183"/>
        <w:gridCol w:w="1303"/>
      </w:tblGrid>
      <w:tr>
        <w:trPr>
          <w:trHeight w:val="463" w:hRule="auto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Раздел</w:t>
            </w: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Отчет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2018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Оценка 2019 год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2020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Всего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100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Общегосударственные вопросы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55,1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51,3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72,1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</w:t>
            </w: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2,8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1,2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</w:t>
            </w: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оборона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4,7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4,5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8,1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</w:t>
            </w: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Национальная экономика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2,3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1,8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1,6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</w:t>
            </w: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Жилищно-коммунальное хозяйство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11,8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36,1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10,3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</w:t>
            </w: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Культура и кинематография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23,1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0,7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1,2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60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Социальная политика</w:t>
            </w:r>
          </w:p>
        </w:tc>
        <w:tc>
          <w:tcPr>
            <w:tcW w:w="99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3,0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2,8</w:t>
            </w:r>
          </w:p>
        </w:tc>
        <w:tc>
          <w:tcPr>
            <w:tcW w:w="13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5,5</w:t>
            </w:r>
          </w:p>
        </w:tc>
      </w:tr>
    </w:tbl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ab/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%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Расходы бюджета Знаменского муниципального образования по основным разделам на душу населения</w:t>
      </w: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руб.</w:t>
        <w:tab/>
      </w:r>
    </w:p>
    <w:tbl>
      <w:tblPr/>
      <w:tblGrid>
        <w:gridCol w:w="1063"/>
        <w:gridCol w:w="5539"/>
        <w:gridCol w:w="1275"/>
        <w:gridCol w:w="1183"/>
        <w:gridCol w:w="1126"/>
      </w:tblGrid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Раздел</w:t>
            </w:r>
          </w:p>
        </w:tc>
        <w:tc>
          <w:tcPr>
            <w:tcW w:w="55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Показатель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Отчет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2018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Оценка 2019 год</w:t>
            </w:r>
          </w:p>
        </w:tc>
        <w:tc>
          <w:tcPr>
            <w:tcW w:w="1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2020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05</w:t>
            </w:r>
          </w:p>
        </w:tc>
        <w:tc>
          <w:tcPr>
            <w:tcW w:w="55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Жилищно-коммунальное хозяйство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287,33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1061,15</w:t>
            </w:r>
          </w:p>
        </w:tc>
        <w:tc>
          <w:tcPr>
            <w:tcW w:w="1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166,13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</w:t>
            </w:r>
          </w:p>
        </w:tc>
        <w:tc>
          <w:tcPr>
            <w:tcW w:w="55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Культура, кинематография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568,81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19,17</w:t>
            </w:r>
          </w:p>
        </w:tc>
        <w:tc>
          <w:tcPr>
            <w:tcW w:w="1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19,16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  <w:tc>
          <w:tcPr>
            <w:tcW w:w="55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Социальная политика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75,36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83,06</w:t>
            </w:r>
          </w:p>
        </w:tc>
        <w:tc>
          <w:tcPr>
            <w:tcW w:w="1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88,17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</w:p>
        </w:tc>
        <w:tc>
          <w:tcPr>
            <w:tcW w:w="55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 работников органов местного самоуправления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969,88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1095,33</w:t>
            </w:r>
          </w:p>
        </w:tc>
        <w:tc>
          <w:tcPr>
            <w:tcW w:w="1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1158,2</w:t>
            </w:r>
          </w:p>
        </w:tc>
      </w:tr>
      <w:tr>
        <w:trPr>
          <w:trHeight w:val="1" w:hRule="atLeast"/>
          <w:jc w:val="left"/>
        </w:trPr>
        <w:tc>
          <w:tcPr>
            <w:tcW w:w="106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53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Итого расходы местного бюджета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2454,70</w:t>
            </w:r>
          </w:p>
        </w:tc>
        <w:tc>
          <w:tcPr>
            <w:tcW w:w="11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2944,09</w:t>
            </w:r>
          </w:p>
        </w:tc>
        <w:tc>
          <w:tcPr>
            <w:tcW w:w="112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1603,64</w:t>
            </w:r>
          </w:p>
        </w:tc>
      </w:tr>
    </w:tbl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руб.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Расходы бюджета Знаменского муниципального образования запланированы на 2020 год в сумме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2509,7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тыс. руб. Общий объем и структура расходов представлена в следующей форме:  </w:t>
        <w:tab/>
      </w:r>
    </w:p>
    <w:p>
      <w:pPr>
        <w:spacing w:before="0" w:after="200" w:line="240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ab/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тыс. руб.</w:t>
        <w:tab/>
      </w:r>
    </w:p>
    <w:tbl>
      <w:tblPr/>
      <w:tblGrid>
        <w:gridCol w:w="4361"/>
        <w:gridCol w:w="1559"/>
        <w:gridCol w:w="1418"/>
        <w:gridCol w:w="1275"/>
        <w:gridCol w:w="1554"/>
      </w:tblGrid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Расходы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Отчет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2018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Оценка 2019 год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 2020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</w:t>
            </w:r>
          </w:p>
        </w:tc>
      </w:tr>
      <w:tr>
        <w:trPr>
          <w:trHeight w:val="1046" w:hRule="auto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Общегосударственные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вопросы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2145,9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2364,5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1809,2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Национальная оборона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182,6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207,3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202,5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Национальная экономика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88,7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85,0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40,0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Жилищно-коммунальное хозяйство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456,0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1660,7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260,0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Культура, кинематография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902,8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30,0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30,0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Социальная политика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119,6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130,0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138,0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Национальная безопасность и правоохранительная деятельность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907" w:dyaOrig="705">
                <v:rect xmlns:o="urn:schemas-microsoft-com:office:office" xmlns:v="urn:schemas-microsoft-com:vml" id="rectole0000000010" style="width:45.350000pt;height:35.250000pt" o:preferrelative="t" o:ole="">
                  <o:lock v:ext="edit"/>
                  <v:imagedata xmlns:r="http://schemas.openxmlformats.org/officeDocument/2006/relationships" r:id="docRId21" o:title=""/>
                </v:rect>
      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      </w:objec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130,0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6"/>
                <w:shd w:fill="auto" w:val="clear"/>
              </w:rPr>
              <w:t xml:space="preserve">30,0</w:t>
            </w:r>
          </w:p>
        </w:tc>
      </w:tr>
      <w:tr>
        <w:trPr>
          <w:trHeight w:val="1" w:hRule="atLeast"/>
          <w:jc w:val="left"/>
        </w:trPr>
        <w:tc>
          <w:tcPr>
            <w:tcW w:w="436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ИТОГО расходов: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auto" w:fill="d6e3bc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3895,6</w:t>
            </w:r>
          </w:p>
        </w:tc>
        <w:tc>
          <w:tcPr>
            <w:tcW w:w="12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4607,5</w:t>
            </w:r>
          </w:p>
        </w:tc>
        <w:tc>
          <w:tcPr>
            <w:tcW w:w="155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righ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6"/>
                <w:shd w:fill="auto" w:val="clear"/>
              </w:rPr>
              <w:t xml:space="preserve">2509,7</w:t>
            </w:r>
          </w:p>
        </w:tc>
      </w:tr>
    </w:tbl>
    <w:p>
      <w:pPr>
        <w:spacing w:before="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324" w:dyaOrig="921">
          <v:rect xmlns:o="urn:schemas-microsoft-com:office:office" xmlns:v="urn:schemas-microsoft-com:vml" id="rectole0000000011" style="width:66.200000pt;height:46.0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40"/>
        <w:ind w:right="0" w:left="0" w:firstLine="70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Контактная информация: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Адрес:  Саратовская область, Ивантеевский район,  пос. Знаменка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График работы с 8-00 до 16-12, перерыв с 12-00 до 13-00.</w:t>
      </w:r>
    </w:p>
    <w:p>
      <w:pPr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Телефоны  (8 84579 5-61-21) </w:t>
      </w:r>
    </w:p>
    <w:p>
      <w:pPr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Тел.5-61-21  </w:t>
      </w:r>
    </w:p>
    <w:p>
      <w:pPr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Глава Знаменского муниципального образования     Уколова И.Н.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</w:t>
      </w:r>
    </w:p>
    <w:p>
      <w:pPr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Электронная почта: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admznam@mail.ru</w:t>
      </w:r>
    </w:p>
    <w:p>
      <w:pPr>
        <w:spacing w:before="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8.wmf" Id="docRId17" Type="http://schemas.openxmlformats.org/officeDocument/2006/relationships/image"/><Relationship Target="numbering.xml" Id="docRId24" Type="http://schemas.openxmlformats.org/officeDocument/2006/relationships/numbering"/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embeddings/oleObject8.bin" Id="docRId16" Type="http://schemas.openxmlformats.org/officeDocument/2006/relationships/oleObject"/><Relationship Target="media/image10.wmf" Id="docRId21" Type="http://schemas.openxmlformats.org/officeDocument/2006/relationships/image"/><Relationship Target="styles.xml" Id="docRId25" Type="http://schemas.openxmlformats.org/officeDocument/2006/relationships/styles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media/image1.wmf" Id="docRId3" Type="http://schemas.openxmlformats.org/officeDocument/2006/relationships/image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media/image2.wmf" Id="docRId5" Type="http://schemas.openxmlformats.org/officeDocument/2006/relationships/image"/></Relationships>
</file>