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>
      <w:pPr>
        <w:pStyle w:val="Style21"/>
        <w:jc w:val="center"/>
        <w:rPr>
          <w:rFonts w:ascii="Times New Roman" w:hAnsi="Times New Roman"/>
        </w:rPr>
      </w:pPr>
      <w:r>
        <w:rPr>
          <w:b/>
          <w:spacing w:val="-20"/>
          <w:sz w:val="28"/>
          <w:szCs w:val="28"/>
        </w:rPr>
        <w:t>НИКОЛАЕВСКОГО  МУНИЦИПАЛЬНОГО ОБРАЗОВАНИЯ</w:t>
      </w:r>
    </w:p>
    <w:p>
      <w:pPr>
        <w:pStyle w:val="Style21"/>
        <w:jc w:val="center"/>
        <w:rPr>
          <w:rFonts w:ascii="Times New Roman" w:hAnsi="Times New Roman"/>
        </w:rPr>
      </w:pPr>
      <w:r>
        <w:rPr>
          <w:b/>
          <w:spacing w:val="-20"/>
          <w:sz w:val="28"/>
          <w:szCs w:val="28"/>
        </w:rPr>
        <w:t>ИВАНТЕЕВСКОГО  МУНИЦИПАЛЬНОГО  РАЙОНА</w:t>
      </w:r>
    </w:p>
    <w:p>
      <w:pPr>
        <w:pStyle w:val="Style21"/>
        <w:jc w:val="center"/>
        <w:rPr>
          <w:rFonts w:ascii="Times New Roman" w:hAnsi="Times New Roman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" w:eastAsiaTheme="minorEastAsia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 xml:space="preserve">№ </w:t>
      </w: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24</w:t>
      </w:r>
    </w:p>
    <w:p>
      <w:pPr>
        <w:pStyle w:val="Style21"/>
        <w:tabs>
          <w:tab w:val="left" w:pos="708" w:leader="none"/>
          <w:tab w:val="center" w:pos="4677" w:leader="none"/>
          <w:tab w:val="left" w:pos="7468" w:leader="none"/>
          <w:tab w:val="left" w:pos="7710" w:leader="none"/>
          <w:tab w:val="left" w:pos="8610" w:leader="none"/>
          <w:tab w:val="right" w:pos="9355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  <w:u w:val="none"/>
        </w:rPr>
        <w:t xml:space="preserve">от 10 июля 2019 г.    </w:t>
      </w:r>
      <w:r>
        <w:rPr>
          <w:rFonts w:eastAsia="" w:cs="Times New Roman" w:eastAsiaTheme="minorEastAsia"/>
          <w:sz w:val="28"/>
          <w:szCs w:val="28"/>
        </w:rPr>
        <w:t xml:space="preserve">                                                                     с. Николаевка </w:t>
      </w:r>
    </w:p>
    <w:p>
      <w:pPr>
        <w:pStyle w:val="Style21"/>
        <w:tabs>
          <w:tab w:val="left" w:pos="708" w:leader="none"/>
          <w:tab w:val="center" w:pos="4677" w:leader="none"/>
          <w:tab w:val="left" w:pos="7468" w:leader="none"/>
          <w:tab w:val="left" w:pos="7710" w:leader="none"/>
          <w:tab w:val="left" w:pos="8610" w:leader="none"/>
          <w:tab w:val="right" w:pos="9355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методики прогнозирования поступлений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источникам финансирования дефицита бюджета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 муниципального района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 области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администрация Николаевского муниципального образования Ивантеевского муниципального района Саратовской области 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методику прогнозирования поступлений по источникам финансирования дефицита бюджета Николаевского муниципального образования Ивантеевского муниципального района согласно Приложению 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Разместить настоящее постановление на сайте администрации Ивантеевского муниципального района </w:t>
      </w:r>
      <w:r>
        <w:rPr>
          <w:rFonts w:cs="Times New Roman" w:ascii="Times New Roman" w:hAnsi="Times New Roman"/>
          <w:sz w:val="28"/>
          <w:szCs w:val="28"/>
          <w:lang w:val="en-US"/>
        </w:rPr>
        <w:t>ivanteevka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sarmo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 в сети «Интернет»</w:t>
      </w:r>
      <w:r>
        <w:rPr>
          <w:rFonts w:cs="Times New Roman" w:ascii="Times New Roman" w:hAnsi="Times New Roman"/>
          <w:bCs/>
          <w:color w:val="000000"/>
          <w:spacing w:val="-11"/>
          <w:sz w:val="28"/>
          <w:szCs w:val="28"/>
        </w:rPr>
        <w:t xml:space="preserve"> в разделе Николаевское МО.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 Настоящее постановление  вступает в силу с момента подписания</w:t>
      </w:r>
      <w:r>
        <w:rPr>
          <w:rFonts w:cs="Times New Roman" w:ascii="Times New Roman" w:hAnsi="Times New Roman"/>
        </w:rPr>
        <w:t>.</w:t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napToGrid w:val="false"/>
        <w:spacing w:lineRule="auto" w:line="240" w:before="0" w:after="0"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И.о. главы Николаевского</w:t>
        <w:br/>
        <w:t>муниципального образования                                        С.А. Колчина</w:t>
      </w:r>
    </w:p>
    <w:p>
      <w:pPr>
        <w:pStyle w:val="Normal"/>
        <w:spacing w:before="0" w:after="0"/>
        <w:ind w:firstLine="708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администрации  Николаевского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</w:t>
      </w:r>
      <w:r>
        <w:rPr>
          <w:rFonts w:cs="Times New Roman" w:ascii="Times New Roman" w:hAnsi="Times New Roman"/>
        </w:rPr>
        <w:t xml:space="preserve">от </w:t>
      </w:r>
      <w:r>
        <w:rPr>
          <w:rFonts w:eastAsia="" w:cs="Times New Roman" w:ascii="Times New Roman" w:hAnsi="Times New Roman" w:eastAsiaTheme="minorEastAsia"/>
        </w:rPr>
        <w:t xml:space="preserve"> 10.07. 2019 года  № 24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Методика прогнозирования поступлений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источникам финансирования дефицита бюджета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9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Общие положения.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1. Настоящая Методика прогнозирования поступлений по источникам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финансирования дефицита  бюджета Николаевского муниципального образования   Ивантеевского муниципального района (далее - Методика) разработана в соответствии с Общими требованиями к Методике  прогнозирования поступлений по источникам финансирования дефицита бюджета, утверждёнными Постановлением Правительства Российской Федерации от 26.05.2016 № 469.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Целью настоящей Методики является повышение качества планирования бюджета Николаевского муниципального образования  Ивантеевского муниципального района (далее - местный бюджет).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2.1. оценка параметров местного бюджета с учётом ограничений, задаваемых уровнями долговой нагрузки бюджета и бюджетным законодательством, а также действующих и планируемых к принятию долговых обязательств Николаевского муниципального образования  Ивантеевского муниципального района (далее – муниципальное образование);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2.2. определение объёма планируемых к принятию долговых обязательств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образования, в том числе на рефинансирование долговых обязательств, на основании заключённых ранее и находящихся на исполнении в прогнозируемом периоде муниципальных  контрактов на оказание услуг по финансовому посредничеству для муниципальных нужд муниципального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2.3. оценка условий возможного привлечения муниципальным образованием новых заимствований;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2.4. оценка условий действующих и планируемых к заключению соглашений о предоставлении средств местного бюджета на возвратной основе, в том числе договоров о предоставлении муниципальных гарантий  (в части возврата средств местного бюджета в случае исполнения  муниципальным образованием обязательств гаранта).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3. Прогнозирование поступлений и выплат по источникам внутреннего финансирования дефицита местного бюджета осуществляется исходя из прогнозируемого дефицита местного бюджета, а также необходимости погашения долговых обязательств местного бюджета с учетом поступлений иных источников финансирования дефицита местного бюджета.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4. Объем выплат по источникам внутреннего финансирования дефицита местного бюджета определяется в соответствии с условиями принятых и планируемых к принятию долговых обязательств.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5. Расчет возможных заимствований и прогнозного объема поступлений по иным источникам финансирования дефицита местного бюджета производится при формировании местного бюджета на очередной финансовый год, а также при его уточнении.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Обновление указанных расчетов может производится по мере необходимости в течение текущего финансового года с учетом фактического исполнения местного бюджета.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 При планировании возможных заимствований учитываются ограничения, установленные Бюджетным кодексом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7. Предельный объем возможных заимствований местного бюджета рассчитывается с использованием метода прямого счета исходя из условий действующих договоров (соглашений) согласно следующей формуле:</w:t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оз</w:t>
      </w:r>
      <w:r>
        <w:rPr>
          <w:rFonts w:cs="Times New Roman" w:ascii="Times New Roman" w:hAnsi="Times New Roman"/>
          <w:b/>
          <w:sz w:val="28"/>
          <w:szCs w:val="28"/>
        </w:rPr>
        <w:t xml:space="preserve"> = 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пу</w:t>
      </w:r>
      <w:r>
        <w:rPr>
          <w:rFonts w:cs="Times New Roman" w:ascii="Times New Roman" w:hAnsi="Times New Roman"/>
          <w:b/>
          <w:sz w:val="28"/>
          <w:szCs w:val="28"/>
        </w:rPr>
        <w:t xml:space="preserve"> х (Д – БП - ДН) + ДО – МД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нг,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где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оз</w:t>
      </w:r>
      <w:r>
        <w:rPr>
          <w:rFonts w:cs="Times New Roman" w:ascii="Times New Roman" w:hAnsi="Times New Roman"/>
          <w:sz w:val="28"/>
          <w:szCs w:val="28"/>
        </w:rPr>
        <w:t xml:space="preserve"> – объем возможных заимствований местного бюджета;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пу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– коэффициент, учитывающий предельный уровень долговой нагрузки местного бюджета по привлеченным муниципальным заимствованиям в соответствии с требованиями статьи 107 Бюджетного кодекса Российской Федерации; 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 – утвержденный или прогнозируемый годовой объем доходов местного бюджета;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БП</w:t>
      </w:r>
      <w:r>
        <w:rPr>
          <w:rFonts w:cs="Times New Roman" w:ascii="Times New Roman" w:hAnsi="Times New Roman"/>
          <w:sz w:val="28"/>
          <w:szCs w:val="28"/>
        </w:rPr>
        <w:t xml:space="preserve"> – утвержденный или прогнозируемый годовой объем безвозмездных поступлений в местный бюджет;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</w:t>
      </w:r>
      <w:r>
        <w:rPr>
          <w:rFonts w:cs="Times New Roman" w:ascii="Times New Roman" w:hAnsi="Times New Roman"/>
          <w:sz w:val="28"/>
          <w:szCs w:val="28"/>
        </w:rPr>
        <w:t xml:space="preserve"> - утвержденный или прогнозируемый объем поступлений налоговых доходов по дополнительным нормативам отчислений;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</w:t>
      </w:r>
      <w:r>
        <w:rPr>
          <w:rFonts w:cs="Times New Roman" w:ascii="Times New Roman" w:hAnsi="Times New Roman"/>
          <w:sz w:val="28"/>
          <w:szCs w:val="28"/>
        </w:rPr>
        <w:t xml:space="preserve"> – долговые обязательства местного бюджета, включая обязательства по муниципальным гарантиям, со сроком погашения в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МД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нг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муниципальный долг местного бюджета на начало соответствующего финансового года.</w:t>
      </w:r>
    </w:p>
    <w:p>
      <w:pPr>
        <w:pStyle w:val="Oaenoaieoiaioa"/>
        <w:tabs>
          <w:tab w:val="left" w:pos="142" w:leader="none"/>
        </w:tabs>
        <w:ind w:left="1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2355" w:leader="none"/>
          <w:tab w:val="right" w:pos="9638" w:leader="none"/>
        </w:tabs>
        <w:ind w:left="4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 Перечень главных администраторов источников </w:t>
      </w:r>
    </w:p>
    <w:p>
      <w:pPr>
        <w:pStyle w:val="ListParagraph"/>
        <w:tabs>
          <w:tab w:val="left" w:pos="2355" w:leader="none"/>
          <w:tab w:val="right" w:pos="9638" w:leader="none"/>
        </w:tabs>
        <w:ind w:left="4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внутреннего финансирования дефицита бюджета</w:t>
      </w:r>
    </w:p>
    <w:p>
      <w:pPr>
        <w:pStyle w:val="ListParagraph"/>
        <w:tabs>
          <w:tab w:val="left" w:pos="2355" w:leader="none"/>
          <w:tab w:val="right" w:pos="9638" w:leader="none"/>
        </w:tabs>
        <w:ind w:left="48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Николаевского муниципального образования</w:t>
      </w:r>
    </w:p>
    <w:tbl>
      <w:tblPr>
        <w:tblW w:w="10397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95"/>
        <w:gridCol w:w="3133"/>
        <w:gridCol w:w="5269"/>
      </w:tblGrid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Код админи-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стратора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>
        <w:trPr>
          <w:trHeight w:val="129" w:hRule="atLeast"/>
        </w:trPr>
        <w:tc>
          <w:tcPr>
            <w:tcW w:w="10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Администрация Николаевского  муниципального образования Ивантеевского муниципального района Саратовской области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01 02 00 00 10 0000 710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01 02 00 00 10 0000 810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01 03 0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00 10 0000 710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Получение кредитов от других бюджетов бюджетной системы  Российской Федерации бюджетами сельских поселений в валюте Российской Федерации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01 03 0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00 10 0000 810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Погашение бюджетами сельских поселений  кредитов  от других бюджетов бюджетной системы  Российской Федерации в валюте Российской Федерации*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>
        <w:trPr>
          <w:trHeight w:val="12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01 06 05 01 10 0000 540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>
        <w:trPr>
          <w:trHeight w:val="131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01 06 05 01 10 0000 640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Возврат  бюджетных кредитов, предоставленным юридическим лицам из бюджетов сельских поселений в валюте Российской Федерации</w:t>
            </w:r>
          </w:p>
        </w:tc>
      </w:tr>
      <w:tr>
        <w:trPr>
          <w:trHeight w:val="1169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01 06 06 00 10 0000 710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>
        <w:trPr>
          <w:trHeight w:val="1078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01 06 06 00 10 0000 810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сельских поселений</w:t>
            </w:r>
          </w:p>
        </w:tc>
      </w:tr>
      <w:tr>
        <w:trPr>
          <w:trHeight w:val="810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01 06 08 00 10 0000 540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Предоставление прочих бюджетных кредитов бюджетам сельских поселений</w:t>
            </w:r>
          </w:p>
        </w:tc>
      </w:tr>
      <w:tr>
        <w:trPr>
          <w:trHeight w:val="810" w:hRule="atLeas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01 06 08 00 10 0000 640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>
        <w:trPr>
          <w:trHeight w:val="10" w:hRule="exact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Расчет прогнозного объема по каждому виду поступлений по источникам финансирования дефицита местного бюджета</w:t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Получение кредитов от кредитных организаций местным бюджетом в валюте Российской Федерации.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Используется метод прямого счета (расчет по совокупности действующих          договоров, соглашений).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расчете учитываются: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объем муниципальных заимствований местного бюджета по                      действующим договорам, соглашениям, контрактам, подлежащий              погашению в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прогнозируемый на соответствующий финансовый год объем                       дефицита/профицита местного бюджета;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планируемые к заключению в соответствующем финансовом году              договоры, соглашения, контракты на привлечение в местный бюджет          заемных средств;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принятые администрацией района основные направления бюджетной и налоговой политики на соответствующий финансовый год;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конъюнктура рынка кредитования.</w:t>
      </w:r>
    </w:p>
    <w:p>
      <w:pPr>
        <w:pStyle w:val="Normal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Формула расчета прогнозируемого объема поступлений:</w:t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ко</w:t>
      </w:r>
      <w:r>
        <w:rPr>
          <w:rFonts w:cs="Times New Roman" w:ascii="Times New Roman" w:hAnsi="Times New Roman"/>
          <w:b/>
          <w:sz w:val="28"/>
          <w:szCs w:val="28"/>
        </w:rPr>
        <w:t xml:space="preserve"> = О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д</w:t>
      </w:r>
      <w:r>
        <w:rPr>
          <w:rFonts w:cs="Times New Roman" w:ascii="Times New Roman" w:hAnsi="Times New Roman"/>
          <w:b/>
          <w:sz w:val="28"/>
          <w:szCs w:val="28"/>
        </w:rPr>
        <w:t xml:space="preserve"> + Д(П) - ИФДБ</w:t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- прогнозируемый объем поступлений от получения кредитов от кредитных организаций местным бюджетом в валюте Российской Федерации в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д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объем муниципального долга местного бюджета, подлежащий погашению в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Д(П)</w:t>
      </w:r>
      <w:r>
        <w:rPr>
          <w:rFonts w:cs="Times New Roman" w:ascii="Times New Roman" w:hAnsi="Times New Roman"/>
          <w:sz w:val="28"/>
          <w:szCs w:val="28"/>
        </w:rPr>
        <w:t xml:space="preserve"> - прогнозируемый объем дефицита (профицита) местного бюджета на соответствующий финансовый год. Прогнозируемый объем профицита местного бюджета на соответствующий финансовый год учитывается со знаком минус.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ИФДБ</w:t>
      </w:r>
      <w:r>
        <w:rPr>
          <w:rFonts w:cs="Times New Roman" w:ascii="Times New Roman" w:hAnsi="Times New Roman"/>
          <w:sz w:val="28"/>
          <w:szCs w:val="28"/>
        </w:rPr>
        <w:t xml:space="preserve"> - прогнозируемый объем изменения остатков средств на счетах по учету средств местного бюджета и иных источников финансирования дефицита  местного бюджета в соответствующем финансовом году.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2. Прогнозируемый объем получения кредитов от других бюджетов бюджетной системы Российской Федерации местным бюджетом в валюте  Российской Федерации принимается равным нулю.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Для расчета прогнозируемого объема поступлений от возврата бюджетных кредитов, предоставленных юридическим лицам из местного бюджета в валюте Российской Федерации, используется метод прямого счета (расчет по совокупности действующих договоров, соглашений).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расчете учитываются: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задолженности юридических лиц перед местным бюджетом              подлежащий погашению в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просроченной задолженности юридических лиц перед местным              бюджетом;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вероятность погашения задолженности юридических лиц перед местным бюджетом;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действующих договоров (соглашений) о предоставлении бюджетных кредитов юридическим лицам из местного бюджета.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Формула расчета прогнозируемого объема поступлений:</w:t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юл</w:t>
      </w:r>
      <w:r>
        <w:rPr>
          <w:rFonts w:cs="Times New Roman" w:ascii="Times New Roman" w:hAnsi="Times New Roman"/>
          <w:b/>
          <w:sz w:val="28"/>
          <w:szCs w:val="28"/>
        </w:rPr>
        <w:t xml:space="preserve"> = 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тi</w:t>
      </w:r>
      <w:r>
        <w:rPr>
          <w:rFonts w:cs="Times New Roman" w:ascii="Times New Roman" w:hAnsi="Times New Roman"/>
          <w:b/>
          <w:sz w:val="28"/>
          <w:szCs w:val="28"/>
        </w:rPr>
        <w:t xml:space="preserve"> + (З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пi</w:t>
      </w:r>
      <w:r>
        <w:rPr>
          <w:rFonts w:cs="Times New Roman" w:ascii="Times New Roman" w:hAnsi="Times New Roman"/>
          <w:b/>
          <w:sz w:val="28"/>
          <w:szCs w:val="28"/>
        </w:rPr>
        <w:t xml:space="preserve"> х 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вюлi</w:t>
      </w:r>
      <w:r>
        <w:rPr>
          <w:rFonts w:cs="Times New Roman" w:ascii="Times New Roman" w:hAnsi="Times New Roman"/>
          <w:b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юл</w:t>
      </w:r>
      <w:r>
        <w:rPr>
          <w:rFonts w:cs="Times New Roman" w:ascii="Times New Roman" w:hAnsi="Times New Roman"/>
          <w:sz w:val="28"/>
          <w:szCs w:val="28"/>
        </w:rPr>
        <w:t xml:space="preserve"> - прогнозируемый объем поступлений от возврата бюджетных кредитов, предоставленных юридическим лицам из местного бюджета в       валюте Российской Федерации;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тi</w:t>
      </w:r>
      <w:r>
        <w:rPr>
          <w:rFonts w:cs="Times New Roman" w:ascii="Times New Roman" w:hAnsi="Times New Roman"/>
          <w:sz w:val="28"/>
          <w:szCs w:val="28"/>
        </w:rPr>
        <w:t xml:space="preserve"> - объем задолженности юридического лица перед местным бюджетом в рамках i-ro договора о предоставлении кредита, подлежащий погашению в             соответствующем финансовом году;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пi</w:t>
      </w:r>
      <w:r>
        <w:rPr>
          <w:rFonts w:cs="Times New Roman" w:ascii="Times New Roman" w:hAnsi="Times New Roman"/>
          <w:sz w:val="28"/>
          <w:szCs w:val="28"/>
        </w:rPr>
        <w:t xml:space="preserve"> - объем просроченной задолженности юридического лица перед местным бюджетом в рамках i-ro договора о предоставлении кредита;</w:t>
      </w:r>
    </w:p>
    <w:p>
      <w:pPr>
        <w:pStyle w:val="Normal"/>
        <w:spacing w:before="0"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вюлi</w:t>
      </w:r>
      <w:r>
        <w:rPr>
          <w:rFonts w:cs="Times New Roman" w:ascii="Times New Roman" w:hAnsi="Times New Roman"/>
          <w:sz w:val="28"/>
          <w:szCs w:val="28"/>
        </w:rPr>
        <w:t xml:space="preserve"> - коэффициент вероятности погашения задолженности юридического лица перед местным бюджетом в рамках i-ro договора о предоставлении кредита.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Формула расчета коэффициента вероятности погашения задолженности              юридического лица перед местным бюджетом в рамках i-ro договора о                      предоставлении кредита:</w:t>
      </w:r>
    </w:p>
    <w:p>
      <w:pPr>
        <w:pStyle w:val="Normal"/>
        <w:spacing w:before="0"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вюлi</w:t>
      </w:r>
      <w:r>
        <w:rPr>
          <w:rFonts w:cs="Times New Roman" w:ascii="Times New Roman" w:hAnsi="Times New Roman"/>
          <w:b/>
          <w:sz w:val="28"/>
          <w:szCs w:val="28"/>
        </w:rPr>
        <w:t xml:space="preserve"> = 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поi</w:t>
      </w:r>
      <w:r>
        <w:rPr>
          <w:rFonts w:cs="Times New Roman" w:ascii="Times New Roman" w:hAnsi="Times New Roman"/>
          <w:b/>
          <w:sz w:val="28"/>
          <w:szCs w:val="28"/>
        </w:rPr>
        <w:t>/З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общi</w:t>
      </w:r>
      <w:r>
        <w:rPr>
          <w:rFonts w:cs="Times New Roman" w:ascii="Times New Roman" w:hAnsi="Times New Roman"/>
          <w:sz w:val="28"/>
          <w:szCs w:val="28"/>
        </w:rPr>
        <w:t xml:space="preserve"> , где: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поi</w:t>
      </w:r>
      <w:r>
        <w:rPr>
          <w:rFonts w:cs="Times New Roman" w:ascii="Times New Roman" w:hAnsi="Times New Roman"/>
          <w:sz w:val="28"/>
          <w:szCs w:val="28"/>
        </w:rPr>
        <w:t xml:space="preserve"> - сумма задолженности, погашенной юридическим лицом в местный         бюджет в рамках i-ro договора о предоставлении кредита в отчетном финансовом году;</w:t>
      </w:r>
    </w:p>
    <w:p>
      <w:pPr>
        <w:pStyle w:val="Normal"/>
        <w:spacing w:before="0" w:after="0"/>
        <w:ind w:firstLine="54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  <w:vertAlign w:val="subscript"/>
        </w:rPr>
        <w:t>общi</w:t>
      </w:r>
      <w:r>
        <w:rPr>
          <w:rFonts w:cs="Times New Roman" w:ascii="Times New Roman" w:hAnsi="Times New Roman"/>
          <w:sz w:val="28"/>
          <w:szCs w:val="28"/>
        </w:rPr>
        <w:t xml:space="preserve"> – общая сумма задолженности юридического лицом в местный бюджет в рамках i-ro договора о предоставлении кредита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98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198c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fa30c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19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1079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Oaenoaieoiaioa" w:customStyle="1">
    <w:name w:val="Oaeno aieoiaioa"/>
    <w:basedOn w:val="Normal"/>
    <w:qFormat/>
    <w:rsid w:val="00b3467c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3467c"/>
    <w:pPr>
      <w:widowControl w:val="false"/>
      <w:spacing w:lineRule="auto" w:line="240" w:before="0" w:after="0"/>
      <w:ind w:left="720" w:hanging="0"/>
      <w:contextualSpacing/>
    </w:pPr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BodyText3">
    <w:name w:val="Body Text 3"/>
    <w:basedOn w:val="Normal"/>
    <w:link w:val="30"/>
    <w:qFormat/>
    <w:rsid w:val="00fa30c2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ConsPlusTitle" w:customStyle="1">
    <w:name w:val="ConsPlusTitle"/>
    <w:qFormat/>
    <w:rsid w:val="00da604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F1F8-C628-4DD3-B003-7EFEDA00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Application>LibreOffice/5.4.3.2$Windows_X86_64 LibreOffice_project/92a7159f7e4af62137622921e809f8546db437e5</Application>
  <Pages>7</Pages>
  <Words>1321</Words>
  <Characters>9528</Characters>
  <CharactersWithSpaces>11392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2019-07-09T06:05:00Z</dcterms:created>
  <dc:creator>Пользователь Windows</dc:creator>
  <dc:description/>
  <dc:language>ru-RU</dc:language>
  <cp:lastModifiedBy/>
  <cp:lastPrinted>2019-07-10T06:50:00Z</cp:lastPrinted>
  <dcterms:modified xsi:type="dcterms:W3CDTF">2019-07-11T08:51:27Z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