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D3C0B">
        <w:rPr>
          <w:rFonts w:ascii="Times New Roman" w:hAnsi="Times New Roman"/>
          <w:sz w:val="28"/>
          <w:szCs w:val="28"/>
          <w:u w:val="single"/>
        </w:rPr>
        <w:t>08.07.2021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73080">
        <w:rPr>
          <w:rFonts w:ascii="Times New Roman" w:hAnsi="Times New Roman"/>
          <w:sz w:val="28"/>
          <w:szCs w:val="28"/>
          <w:u w:val="single"/>
        </w:rPr>
        <w:t>2</w:t>
      </w:r>
      <w:r w:rsidR="009D3C0B">
        <w:rPr>
          <w:rFonts w:ascii="Times New Roman" w:hAnsi="Times New Roman"/>
          <w:sz w:val="28"/>
          <w:szCs w:val="28"/>
          <w:u w:val="single"/>
        </w:rPr>
        <w:t>94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от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CD0B59" w:rsidRPr="00CD0B59">
        <w:rPr>
          <w:rFonts w:ascii="Times New Roman" w:hAnsi="Times New Roman"/>
          <w:sz w:val="28"/>
          <w:szCs w:val="28"/>
        </w:rPr>
        <w:t>от</w:t>
      </w:r>
      <w:proofErr w:type="gramEnd"/>
      <w:r w:rsidR="00CD0B59" w:rsidRPr="00CD0B59">
        <w:rPr>
          <w:rFonts w:ascii="Times New Roman" w:hAnsi="Times New Roman"/>
          <w:sz w:val="28"/>
          <w:szCs w:val="28"/>
        </w:rPr>
        <w:t xml:space="preserve">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="00A51B91">
        <w:rPr>
          <w:rFonts w:ascii="Times New Roman" w:hAnsi="Times New Roman"/>
          <w:sz w:val="28"/>
          <w:szCs w:val="28"/>
        </w:rPr>
        <w:t xml:space="preserve">, </w:t>
      </w:r>
      <w:r w:rsidR="00A51B91" w:rsidRPr="00A51B91">
        <w:rPr>
          <w:rFonts w:ascii="Times New Roman" w:hAnsi="Times New Roman"/>
          <w:sz w:val="28"/>
          <w:szCs w:val="28"/>
        </w:rPr>
        <w:t>от 16.04.2021№ 165</w:t>
      </w:r>
      <w:r w:rsidR="009D3C0B">
        <w:rPr>
          <w:rFonts w:ascii="Times New Roman" w:hAnsi="Times New Roman"/>
          <w:sz w:val="28"/>
          <w:szCs w:val="28"/>
        </w:rPr>
        <w:t xml:space="preserve">; </w:t>
      </w:r>
      <w:r w:rsidR="009D3C0B" w:rsidRPr="009D3C0B">
        <w:rPr>
          <w:rFonts w:ascii="Times New Roman" w:hAnsi="Times New Roman"/>
          <w:sz w:val="28"/>
          <w:szCs w:val="28"/>
        </w:rPr>
        <w:t>от 16.06.2021№ 246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D2A18" w:rsidRDefault="00BD2A1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2C26BA" w:rsidRDefault="002C26BA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2C26BA" w:rsidRDefault="002C26BA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73080" w:rsidRPr="009D3C0B" w:rsidRDefault="00973080" w:rsidP="00973080">
      <w:pPr>
        <w:spacing w:after="0" w:line="240" w:lineRule="auto"/>
        <w:ind w:left="4956"/>
        <w:jc w:val="center"/>
        <w:rPr>
          <w:rFonts w:ascii="Times New Roman" w:hAnsi="Times New Roman"/>
          <w:b/>
          <w:bCs/>
        </w:rPr>
      </w:pPr>
      <w:r w:rsidRPr="00973080">
        <w:rPr>
          <w:rFonts w:ascii="Times New Roman" w:hAnsi="Times New Roman"/>
        </w:rPr>
        <w:t xml:space="preserve">     </w:t>
      </w:r>
      <w:r w:rsidR="009D3C0B" w:rsidRPr="009D3C0B">
        <w:rPr>
          <w:rFonts w:ascii="Times New Roman" w:hAnsi="Times New Roman"/>
          <w:u w:val="single"/>
        </w:rPr>
        <w:t>от 08.07.2021№ 294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9D3C0B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F2E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9F2E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161572,1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9F2EAD" w:rsidRPr="00D05740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9F2EAD" w:rsidRPr="009E7359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27370,9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27370,9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30789,1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9F2EAD" w:rsidRPr="005F0EFA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30789,1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161572,1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9F2EAD" w:rsidRPr="007C45B3" w:rsidRDefault="009F2EAD" w:rsidP="009F2EA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126592,2</w:t>
            </w:r>
            <w:r w:rsidRPr="007C45B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F2EAD" w:rsidRPr="009F2EAD" w:rsidRDefault="009F2EAD" w:rsidP="009F2EA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9F2EAD">
              <w:t xml:space="preserve"> «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03,3тыс. рублей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9F2EAD" w:rsidRPr="009F2EAD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26</w:t>
                  </w:r>
                  <w:r w:rsidR="001F7A5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20,9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="001F7A5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20,9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2023 г. 30639,1 тыс. руб. в том числе:</w:t>
                  </w:r>
                </w:p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30639,1 тыс. руб.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1F7A5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Итого с 2017 – 2022 г. 160</w:t>
                  </w:r>
                  <w:r w:rsidR="001F7A5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03,3тыс. руб. в том числе:</w:t>
                  </w:r>
                </w:p>
              </w:tc>
            </w:tr>
            <w:tr w:rsidR="009F2EAD" w:rsidRPr="009F2EAD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9F2EAD" w:rsidRPr="009F2EAD" w:rsidRDefault="009F2EAD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9F2EAD" w:rsidRPr="009F2EAD" w:rsidRDefault="009F2EAD" w:rsidP="001F7A5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125</w:t>
                  </w:r>
                  <w:r w:rsidR="001F7A5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23,4тыс. руб.</w:t>
                  </w:r>
                </w:p>
              </w:tc>
            </w:tr>
          </w:tbl>
          <w:p w:rsidR="009F2EAD" w:rsidRPr="007C45B3" w:rsidRDefault="009F2EAD" w:rsidP="009F2EAD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 xml:space="preserve">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A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7C45B3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F7A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A5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9F2EAD" w:rsidRPr="0060004E" w:rsidRDefault="009F2EAD" w:rsidP="009F2EAD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8D7F82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Чернавское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lastRenderedPageBreak/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lastRenderedPageBreak/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2" w:name="Par484"/>
      <w:bookmarkEnd w:id="2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E243C7">
        <w:rPr>
          <w:rFonts w:ascii="Times New Roman" w:hAnsi="Times New Roman"/>
          <w:b/>
          <w:sz w:val="24"/>
          <w:szCs w:val="24"/>
        </w:rPr>
        <w:t>3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9F2EAD">
        <w:rPr>
          <w:rFonts w:ascii="Times New Roman" w:hAnsi="Times New Roman"/>
          <w:b/>
          <w:sz w:val="24"/>
          <w:szCs w:val="24"/>
        </w:rPr>
        <w:t>161572,1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2021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27370,9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27370,9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lastRenderedPageBreak/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>
        <w:rPr>
          <w:rFonts w:ascii="Times New Roman" w:hAnsi="Times New Roman"/>
          <w:b/>
          <w:sz w:val="24"/>
          <w:szCs w:val="24"/>
          <w:u w:val="single"/>
        </w:rPr>
        <w:t>30789,1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Pr="005F0EFA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30789,1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</w:t>
      </w:r>
      <w:r w:rsidR="008A18B1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2EAD">
        <w:rPr>
          <w:rFonts w:ascii="Times New Roman" w:hAnsi="Times New Roman"/>
          <w:b/>
          <w:sz w:val="24"/>
          <w:szCs w:val="24"/>
          <w:u w:val="single"/>
        </w:rPr>
        <w:t>161572,1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9F2EAD">
        <w:rPr>
          <w:rFonts w:ascii="Times New Roman" w:hAnsi="Times New Roman"/>
          <w:sz w:val="24"/>
          <w:szCs w:val="24"/>
        </w:rPr>
        <w:t>126592,2</w:t>
      </w:r>
      <w:r w:rsidRPr="007C45B3">
        <w:rPr>
          <w:rFonts w:ascii="Times New Roman" w:hAnsi="Times New Roman"/>
          <w:sz w:val="24"/>
          <w:szCs w:val="24"/>
        </w:rPr>
        <w:t>тыс.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9F2EAD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9F2EAD">
        <w:rPr>
          <w:rFonts w:ascii="Times New Roman" w:hAnsi="Times New Roman"/>
          <w:b/>
          <w:sz w:val="24"/>
          <w:szCs w:val="24"/>
        </w:rPr>
        <w:t>1</w:t>
      </w:r>
      <w:r w:rsidRPr="009F2EAD">
        <w:t xml:space="preserve"> «</w:t>
      </w:r>
      <w:r w:rsidRPr="009F2EAD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9F2EAD">
        <w:rPr>
          <w:rFonts w:ascii="Times New Roman" w:hAnsi="Times New Roman"/>
          <w:sz w:val="24"/>
          <w:szCs w:val="24"/>
        </w:rPr>
        <w:t xml:space="preserve"> - </w:t>
      </w:r>
      <w:r w:rsidRPr="009F2EAD">
        <w:rPr>
          <w:rFonts w:ascii="Times New Roman" w:hAnsi="Times New Roman"/>
          <w:b/>
          <w:sz w:val="24"/>
          <w:szCs w:val="24"/>
        </w:rPr>
        <w:t>160</w:t>
      </w:r>
      <w:r w:rsidR="008A18B1">
        <w:rPr>
          <w:rFonts w:ascii="Times New Roman" w:hAnsi="Times New Roman"/>
          <w:b/>
          <w:sz w:val="24"/>
          <w:szCs w:val="24"/>
        </w:rPr>
        <w:t>0</w:t>
      </w:r>
      <w:r w:rsidRPr="009F2EAD">
        <w:rPr>
          <w:rFonts w:ascii="Times New Roman" w:hAnsi="Times New Roman"/>
          <w:b/>
          <w:sz w:val="24"/>
          <w:szCs w:val="24"/>
        </w:rPr>
        <w:t>03,3тыс. рублей</w:t>
      </w:r>
      <w:r w:rsidRPr="009F2EAD">
        <w:rPr>
          <w:rFonts w:ascii="Times New Roman" w:hAnsi="Times New Roman"/>
          <w:sz w:val="24"/>
          <w:szCs w:val="24"/>
        </w:rPr>
        <w:t xml:space="preserve">, </w:t>
      </w:r>
      <w:r w:rsidRPr="009F2EAD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9F2E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2EA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,9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33395B">
              <w:rPr>
                <w:rFonts w:ascii="Times New Roman" w:hAnsi="Times New Roman"/>
                <w:sz w:val="24"/>
                <w:szCs w:val="24"/>
              </w:rPr>
              <w:t>26</w:t>
            </w:r>
            <w:r w:rsidR="008A18B1">
              <w:rPr>
                <w:rFonts w:ascii="Times New Roman" w:hAnsi="Times New Roman"/>
                <w:sz w:val="24"/>
                <w:szCs w:val="24"/>
              </w:rPr>
              <w:t>6</w:t>
            </w:r>
            <w:r w:rsidR="0033395B">
              <w:rPr>
                <w:rFonts w:ascii="Times New Roman" w:hAnsi="Times New Roman"/>
                <w:sz w:val="24"/>
                <w:szCs w:val="24"/>
              </w:rPr>
              <w:t>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0,9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2023 г. 30639,1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30639,1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8A18B1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160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03,3тыс.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8A18B1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12</w:t>
            </w:r>
            <w:r w:rsidR="008A18B1">
              <w:rPr>
                <w:rFonts w:ascii="Times New Roman" w:hAnsi="Times New Roman"/>
                <w:sz w:val="24"/>
                <w:szCs w:val="24"/>
              </w:rPr>
              <w:t>50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23,4тыс.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8A18B1">
        <w:rPr>
          <w:rFonts w:ascii="Times New Roman" w:hAnsi="Times New Roman"/>
          <w:b/>
          <w:sz w:val="24"/>
          <w:szCs w:val="24"/>
        </w:rPr>
        <w:t>5</w:t>
      </w:r>
      <w:r w:rsidR="00E243C7">
        <w:rPr>
          <w:rFonts w:ascii="Times New Roman" w:hAnsi="Times New Roman"/>
          <w:b/>
          <w:sz w:val="24"/>
          <w:szCs w:val="24"/>
        </w:rPr>
        <w:t>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A18B1">
        <w:rPr>
          <w:rFonts w:ascii="Times New Roman" w:hAnsi="Times New Roman"/>
          <w:sz w:val="24"/>
          <w:szCs w:val="24"/>
        </w:rPr>
        <w:t>7</w:t>
      </w:r>
      <w:r w:rsidR="00E243C7"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8A18B1">
        <w:rPr>
          <w:rFonts w:ascii="Times New Roman" w:hAnsi="Times New Roman"/>
          <w:b/>
          <w:sz w:val="24"/>
          <w:szCs w:val="24"/>
        </w:rPr>
        <w:t>5</w:t>
      </w:r>
      <w:r w:rsidR="00E243C7">
        <w:rPr>
          <w:rFonts w:ascii="Times New Roman" w:hAnsi="Times New Roman"/>
          <w:b/>
          <w:sz w:val="24"/>
          <w:szCs w:val="24"/>
        </w:rPr>
        <w:t>6</w:t>
      </w:r>
      <w:r w:rsidR="008D7F82">
        <w:rPr>
          <w:rFonts w:ascii="Times New Roman" w:hAnsi="Times New Roman"/>
          <w:b/>
          <w:sz w:val="24"/>
          <w:szCs w:val="24"/>
        </w:rPr>
        <w:t>8,8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A18B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Pr="0060004E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 w:rsidR="00E243C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</w:t>
      </w:r>
      <w:r w:rsidRPr="0060004E">
        <w:rPr>
          <w:rFonts w:ascii="Times New Roman" w:hAnsi="Times New Roman"/>
          <w:sz w:val="24"/>
          <w:szCs w:val="24"/>
        </w:rPr>
        <w:lastRenderedPageBreak/>
        <w:t>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дорог/мостов муниципального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243C7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E243C7">
              <w:rPr>
                <w:rFonts w:ascii="Times New Roman" w:hAnsi="Times New Roman"/>
                <w:sz w:val="24"/>
                <w:szCs w:val="24"/>
              </w:rPr>
              <w:t>3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  <w:r w:rsidR="008A18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33395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8A18B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20,9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33395B">
                    <w:rPr>
                      <w:rFonts w:ascii="Times New Roman" w:hAnsi="Times New Roman"/>
                      <w:sz w:val="24"/>
                      <w:szCs w:val="24"/>
                    </w:rPr>
                    <w:t>69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20,9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30639,1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82F2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982F2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160</w:t>
                  </w:r>
                  <w:r w:rsidR="00982F2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03,3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982F2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  <w:r w:rsidR="00982F2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23,4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End w:id="9"/>
      <w:bookmarkEnd w:id="10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CF6D09" w:rsidRPr="00BA49B6" w:rsidRDefault="00443BDD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 xml:space="preserve">Модернизация и развитие автомобильных дорог общего пользования муниципального </w:t>
      </w:r>
      <w:r w:rsidRPr="00BA49B6">
        <w:rPr>
          <w:rFonts w:ascii="Times New Roman" w:hAnsi="Times New Roman"/>
          <w:b/>
          <w:sz w:val="24"/>
          <w:szCs w:val="24"/>
        </w:rPr>
        <w:t>значения Ивантеевского района Саратовской области»</w:t>
      </w:r>
      <w:r w:rsidRPr="00BA49B6">
        <w:rPr>
          <w:rFonts w:ascii="Times New Roman" w:hAnsi="Times New Roman"/>
          <w:sz w:val="24"/>
          <w:szCs w:val="24"/>
        </w:rPr>
        <w:t xml:space="preserve"> - </w:t>
      </w:r>
      <w:r w:rsidR="00E243C7">
        <w:rPr>
          <w:rFonts w:ascii="Times New Roman" w:hAnsi="Times New Roman"/>
          <w:b/>
          <w:sz w:val="24"/>
          <w:szCs w:val="24"/>
        </w:rPr>
        <w:t>160</w:t>
      </w:r>
      <w:r w:rsidR="008A18B1">
        <w:rPr>
          <w:rFonts w:ascii="Times New Roman" w:hAnsi="Times New Roman"/>
          <w:b/>
          <w:sz w:val="24"/>
          <w:szCs w:val="24"/>
        </w:rPr>
        <w:t>0</w:t>
      </w:r>
      <w:r w:rsidR="00E243C7">
        <w:rPr>
          <w:rFonts w:ascii="Times New Roman" w:hAnsi="Times New Roman"/>
          <w:b/>
          <w:sz w:val="24"/>
          <w:szCs w:val="24"/>
        </w:rPr>
        <w:t>03,3</w:t>
      </w:r>
      <w:r w:rsidR="00CF6D09" w:rsidRPr="00BA49B6">
        <w:rPr>
          <w:rFonts w:ascii="Times New Roman" w:hAnsi="Times New Roman"/>
          <w:b/>
          <w:sz w:val="24"/>
          <w:szCs w:val="24"/>
        </w:rPr>
        <w:t>тыс. рублей</w:t>
      </w:r>
      <w:r w:rsidR="00CF6D09" w:rsidRPr="00BA49B6">
        <w:rPr>
          <w:rFonts w:ascii="Times New Roman" w:hAnsi="Times New Roman"/>
          <w:sz w:val="24"/>
          <w:szCs w:val="24"/>
        </w:rPr>
        <w:t xml:space="preserve">, </w:t>
      </w:r>
      <w:r w:rsidR="00CF6D09" w:rsidRPr="00BA49B6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BA49B6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BA49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49B6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BA49B6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17620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A49B6" w:rsidRPr="00BA49B6">
              <w:rPr>
                <w:rFonts w:ascii="Times New Roman" w:hAnsi="Times New Roman"/>
                <w:sz w:val="24"/>
                <w:szCs w:val="24"/>
              </w:rPr>
              <w:t>7353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339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8A18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20,9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33395B">
              <w:rPr>
                <w:rFonts w:ascii="Times New Roman" w:hAnsi="Times New Roman"/>
                <w:sz w:val="24"/>
                <w:szCs w:val="24"/>
              </w:rPr>
              <w:t>6</w:t>
            </w:r>
            <w:r w:rsidR="008A18B1">
              <w:rPr>
                <w:rFonts w:ascii="Times New Roman" w:hAnsi="Times New Roman"/>
                <w:sz w:val="24"/>
                <w:szCs w:val="24"/>
              </w:rPr>
              <w:t>6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20,9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243C7" w:rsidRPr="00BA49B6" w:rsidRDefault="00CF6D09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="00E243C7"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F6D09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F6D09" w:rsidRPr="00BA49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30639,1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BA49B6" w:rsidRDefault="00E243C7" w:rsidP="00E243C7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30639,1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6D09" w:rsidRPr="00BA49B6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982F2C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982F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160</w:t>
            </w:r>
            <w:r w:rsidR="00982F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E243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03,3</w:t>
            </w:r>
            <w:r w:rsidRPr="00BA49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BA49B6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982F2C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BA49B6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125</w:t>
            </w:r>
            <w:r w:rsidR="00982F2C">
              <w:rPr>
                <w:rFonts w:ascii="Times New Roman" w:hAnsi="Times New Roman"/>
                <w:sz w:val="24"/>
                <w:szCs w:val="24"/>
              </w:rPr>
              <w:t>0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23,4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BD2ED7" w:rsidRPr="00443BDD" w:rsidRDefault="00BD2ED7" w:rsidP="00CF6D09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1" w:name="Par1018"/>
      <w:bookmarkEnd w:id="11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F62E2E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F62E2E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финансового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CC468F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общий объем финансового обеспечения подпрограммы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4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CC468F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46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051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E919C8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 w:rsidR="00B051D7"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 w:rsidR="00B051D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CC468F">
        <w:rPr>
          <w:rFonts w:ascii="Times New Roman" w:hAnsi="Times New Roman"/>
          <w:b/>
          <w:sz w:val="24"/>
          <w:szCs w:val="24"/>
        </w:rPr>
        <w:t>5</w:t>
      </w:r>
      <w:r w:rsidR="00B051D7">
        <w:rPr>
          <w:rFonts w:ascii="Times New Roman" w:hAnsi="Times New Roman"/>
          <w:b/>
          <w:sz w:val="24"/>
          <w:szCs w:val="24"/>
        </w:rPr>
        <w:t>6</w:t>
      </w:r>
      <w:r w:rsidR="00E919C8">
        <w:rPr>
          <w:rFonts w:ascii="Times New Roman" w:hAnsi="Times New Roman"/>
          <w:b/>
          <w:sz w:val="24"/>
          <w:szCs w:val="24"/>
        </w:rPr>
        <w:t>8,8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102,2 тыс. рублей;</w:t>
      </w:r>
    </w:p>
    <w:p w:rsidR="00B051D7" w:rsidRPr="0060004E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00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46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B051D7" w:rsidRDefault="00B051D7" w:rsidP="00B051D7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00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  <w:t xml:space="preserve">     </w:t>
      </w:r>
      <w:r w:rsidR="009D3C0B" w:rsidRPr="009D3C0B">
        <w:rPr>
          <w:rFonts w:ascii="Times New Roman" w:hAnsi="Times New Roman"/>
          <w:u w:val="single"/>
        </w:rPr>
        <w:t>от 08.07.2021№ 294</w:t>
      </w:r>
    </w:p>
    <w:p w:rsidR="007307CB" w:rsidRPr="007307CB" w:rsidRDefault="007307CB" w:rsidP="007307CB">
      <w:pPr>
        <w:spacing w:after="0" w:line="240" w:lineRule="auto"/>
        <w:ind w:left="5812"/>
        <w:jc w:val="center"/>
        <w:rPr>
          <w:rFonts w:ascii="Times New Roman" w:hAnsi="Times New Roman"/>
          <w:u w:val="single"/>
        </w:rPr>
      </w:pP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567"/>
        <w:gridCol w:w="142"/>
        <w:gridCol w:w="567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0221AF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</w:t>
      </w:r>
      <w:r w:rsidR="009D3C0B" w:rsidRPr="009D3C0B">
        <w:rPr>
          <w:rFonts w:ascii="Times New Roman" w:hAnsi="Times New Roman"/>
          <w:u w:val="single"/>
        </w:rPr>
        <w:t>от 08.07.2021№ 294</w:t>
      </w:r>
    </w:p>
    <w:p w:rsidR="00154871" w:rsidRDefault="00154871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5648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A72F28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64342E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C569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C569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7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7E4" w:rsidRPr="008D7F82" w:rsidRDefault="004637E4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BC569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22795,7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BC569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  <w:r w:rsidR="004637E4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9D3C0B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E4" w:rsidRPr="008D7F82" w:rsidTr="004637E4">
        <w:trPr>
          <w:trHeight w:val="88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564087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CF6D09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E4" w:rsidRPr="008D7F82" w:rsidRDefault="004637E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50B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C66702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50B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D3C0B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D3C0B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C6670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C66702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9D3C0B">
        <w:trPr>
          <w:trHeight w:val="16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9D3C0B">
        <w:trPr>
          <w:trHeight w:val="1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C0B" w:rsidRPr="008D7F82" w:rsidTr="004C1358">
        <w:trPr>
          <w:trHeight w:val="1854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645648" w:rsidRDefault="009D3C0B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564087" w:rsidRDefault="009D3C0B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CF6D09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0B" w:rsidRPr="008D7F82" w:rsidRDefault="009D3C0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31C1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D2CF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31C1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D2CF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576A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  <w:r w:rsidR="00BD2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03,3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06720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="00BD2C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</w:r>
            <w:r w:rsidRPr="008D7F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52601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6A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652601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6A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8576AD" w:rsidRPr="00564087" w:rsidRDefault="008576A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BC569A" w:rsidRDefault="00BC569A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BC569A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13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BC569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72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BC569A" w:rsidP="0030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672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564087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Default="00067204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56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E653F" w:rsidRPr="008D7F82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652601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C569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67204">
              <w:rPr>
                <w:rFonts w:ascii="Times New Roman" w:hAnsi="Times New Roman"/>
                <w:b/>
                <w:sz w:val="20"/>
                <w:szCs w:val="20"/>
              </w:rPr>
              <w:t>68,8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27370,9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30789,1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161572,1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067204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126592,2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</w:t>
      </w:r>
      <w:r w:rsidR="00973080">
        <w:rPr>
          <w:rFonts w:ascii="Times New Roman" w:hAnsi="Times New Roman"/>
        </w:rPr>
        <w:t xml:space="preserve">                               </w:t>
      </w:r>
      <w:r w:rsidR="009D3C0B" w:rsidRPr="009D3C0B">
        <w:rPr>
          <w:rFonts w:ascii="Times New Roman" w:hAnsi="Times New Roman"/>
          <w:u w:val="single"/>
        </w:rPr>
        <w:t>от 08.07.2021№ 294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1228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8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B85914" w:rsidRPr="0060004E" w:rsidTr="00B85914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6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B85914" w:rsidRPr="0060004E" w:rsidTr="00B85914">
        <w:trPr>
          <w:cantSplit/>
          <w:trHeight w:val="1235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B85914" w:rsidRPr="0060004E" w:rsidRDefault="00B85914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B85914" w:rsidRPr="0060004E" w:rsidRDefault="00B85914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7C01A9" w:rsidRDefault="00B85914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3395B">
              <w:rPr>
                <w:rFonts w:ascii="Times New Roman" w:hAnsi="Times New Roman"/>
                <w:sz w:val="18"/>
                <w:szCs w:val="18"/>
              </w:rPr>
              <w:t>6</w:t>
            </w:r>
            <w:r w:rsidR="00BD2CF9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7C01A9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33395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BD2CF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30639,1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6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85914" w:rsidRPr="0060004E" w:rsidTr="00B85914">
        <w:trPr>
          <w:cantSplit/>
          <w:trHeight w:val="782"/>
          <w:jc w:val="center"/>
        </w:trPr>
        <w:tc>
          <w:tcPr>
            <w:tcW w:w="820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B85914" w:rsidRPr="0060004E" w:rsidRDefault="00B85914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B85914" w:rsidRPr="0060004E" w:rsidRDefault="00B85914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7C01A9" w:rsidRDefault="00B85914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D2CF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8591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B85914" w:rsidRPr="0060004E" w:rsidRDefault="00B85914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D2CF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B8591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914" w:rsidRPr="0060004E" w:rsidTr="00B85914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B85914" w:rsidRPr="0060004E" w:rsidRDefault="00B85914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85914" w:rsidRPr="0060004E" w:rsidRDefault="00B85914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85914" w:rsidRPr="0060004E" w:rsidRDefault="00B85914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108872,7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85914" w:rsidRPr="0060004E" w:rsidRDefault="00B85914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27370,9</w:t>
            </w:r>
          </w:p>
        </w:tc>
        <w:tc>
          <w:tcPr>
            <w:tcW w:w="284" w:type="dxa"/>
            <w:textDirection w:val="btLr"/>
            <w:vAlign w:val="center"/>
          </w:tcPr>
          <w:p w:rsidR="00B85914" w:rsidRPr="0060004E" w:rsidRDefault="00B85914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283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30789,1</w:t>
            </w:r>
          </w:p>
        </w:tc>
        <w:tc>
          <w:tcPr>
            <w:tcW w:w="1228" w:type="dxa"/>
            <w:textDirection w:val="btLr"/>
            <w:vAlign w:val="center"/>
          </w:tcPr>
          <w:p w:rsidR="00B85914" w:rsidRPr="0060004E" w:rsidRDefault="00B85914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85914" w:rsidRPr="0060004E" w:rsidRDefault="00B85914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5914" w:rsidRPr="0060004E" w:rsidRDefault="00B85914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9E7359" w:rsidRPr="00A47D2D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</w:t>
      </w:r>
      <w:r w:rsidR="00973080">
        <w:rPr>
          <w:rFonts w:ascii="Times New Roman" w:hAnsi="Times New Roman"/>
        </w:rPr>
        <w:t xml:space="preserve">                               </w:t>
      </w:r>
      <w:r w:rsidR="009D3C0B" w:rsidRPr="009D3C0B">
        <w:rPr>
          <w:rFonts w:ascii="Times New Roman" w:hAnsi="Times New Roman"/>
          <w:u w:val="single"/>
        </w:rPr>
        <w:t>от 08.07.2021№ 294</w:t>
      </w:r>
    </w:p>
    <w:p w:rsidR="003402D2" w:rsidRPr="00A7547F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B85914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9E7359" w:rsidRPr="00567ECE" w:rsidRDefault="009E7359" w:rsidP="009E7359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34"/>
        <w:gridCol w:w="6629"/>
        <w:gridCol w:w="1559"/>
        <w:gridCol w:w="1701"/>
        <w:gridCol w:w="2268"/>
        <w:gridCol w:w="2410"/>
      </w:tblGrid>
      <w:tr w:rsidR="009E7359" w:rsidRPr="00567ECE" w:rsidTr="002520C6">
        <w:tc>
          <w:tcPr>
            <w:tcW w:w="709" w:type="dxa"/>
            <w:gridSpan w:val="3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2520C6">
        <w:tc>
          <w:tcPr>
            <w:tcW w:w="709" w:type="dxa"/>
            <w:gridSpan w:val="3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="009E7359"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одержание автомобильных дорог общего пользования местного значения по Ивантеевскому муниципальному району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268" w:type="dxa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11370,9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709" w:type="dxa"/>
            <w:gridSpan w:val="3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E7359" w:rsidRPr="00567ECE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10045,7</w:t>
            </w:r>
          </w:p>
        </w:tc>
        <w:tc>
          <w:tcPr>
            <w:tcW w:w="2268" w:type="dxa"/>
          </w:tcPr>
          <w:p w:rsidR="009E7359" w:rsidRPr="00567ECE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10045,7</w:t>
            </w:r>
          </w:p>
        </w:tc>
        <w:tc>
          <w:tcPr>
            <w:tcW w:w="2410" w:type="dxa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2520C6">
        <w:tc>
          <w:tcPr>
            <w:tcW w:w="15276" w:type="dxa"/>
            <w:gridSpan w:val="8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2520C6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2520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по ул. Зеленая с. Ивантеевка 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000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Ивантеевка Ивант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</w:t>
            </w:r>
            <w:r w:rsidR="00C602A0">
              <w:rPr>
                <w:rFonts w:ascii="Times New Roman" w:hAnsi="Times New Roman"/>
                <w:sz w:val="26"/>
                <w:szCs w:val="26"/>
              </w:rPr>
              <w:t>5</w:t>
            </w:r>
            <w:r w:rsidRPr="00567ECE">
              <w:rPr>
                <w:rFonts w:ascii="Times New Roman" w:hAnsi="Times New Roman"/>
                <w:sz w:val="26"/>
                <w:szCs w:val="26"/>
              </w:rPr>
              <w:t>00,</w:t>
            </w:r>
            <w:r w:rsidR="00C602A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2500,0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9E7359" w:rsidRPr="00567ECE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ул.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Кирова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Саратовской области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8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 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4000,0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9E7359" w:rsidRPr="00567ECE" w:rsidTr="002520C6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ул. </w:t>
            </w:r>
            <w:proofErr w:type="gramStart"/>
            <w:r w:rsidR="00C602A0">
              <w:rPr>
                <w:rFonts w:ascii="Times New Roman" w:eastAsia="Calibri" w:hAnsi="Times New Roman"/>
                <w:sz w:val="26"/>
                <w:szCs w:val="26"/>
              </w:rPr>
              <w:t>Советская</w:t>
            </w:r>
            <w:proofErr w:type="gramEnd"/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Бартеневка,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Pr="00C602A0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268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2000,0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C602A0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C602A0"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 xml:space="preserve"> ул. Молодёжная,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C6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</w:t>
            </w:r>
            <w:r w:rsidR="00C602A0">
              <w:rPr>
                <w:rFonts w:ascii="Times New Roman" w:eastAsia="Calibri" w:hAnsi="Times New Roman"/>
                <w:sz w:val="26"/>
                <w:szCs w:val="26"/>
              </w:rPr>
              <w:t>6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9E7359" w:rsidRPr="00567ECE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C602A0">
            <w:pPr>
              <w:jc w:val="center"/>
            </w:pPr>
            <w:r>
              <w:rPr>
                <w:rFonts w:ascii="Times New Roman" w:eastAsia="Calibri" w:hAnsi="Times New Roman"/>
                <w:sz w:val="26"/>
                <w:szCs w:val="26"/>
              </w:rPr>
              <w:t>3000,0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C602A0" w:rsidRPr="00D970BD" w:rsidTr="00C602A0">
        <w:tc>
          <w:tcPr>
            <w:tcW w:w="675" w:type="dxa"/>
            <w:gridSpan w:val="2"/>
            <w:vAlign w:val="center"/>
          </w:tcPr>
          <w:p w:rsidR="00C602A0" w:rsidRPr="00C602A0" w:rsidRDefault="00C602A0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63" w:type="dxa"/>
            <w:gridSpan w:val="2"/>
            <w:vAlign w:val="center"/>
          </w:tcPr>
          <w:p w:rsidR="00C602A0" w:rsidRPr="00D970BD" w:rsidRDefault="00C602A0" w:rsidP="00C602A0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ул. Партизанская,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с.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Ивантеевка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  <w:proofErr w:type="gramEnd"/>
          </w:p>
        </w:tc>
        <w:tc>
          <w:tcPr>
            <w:tcW w:w="1559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0,4</w:t>
            </w:r>
          </w:p>
        </w:tc>
        <w:tc>
          <w:tcPr>
            <w:tcW w:w="1701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268" w:type="dxa"/>
            <w:vAlign w:val="center"/>
          </w:tcPr>
          <w:p w:rsidR="00C602A0" w:rsidRPr="00C602A0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602A0">
              <w:rPr>
                <w:rFonts w:ascii="Times New Roman" w:eastAsia="Calibri" w:hAnsi="Times New Roman"/>
                <w:sz w:val="26"/>
                <w:szCs w:val="26"/>
              </w:rPr>
              <w:t>1500,0</w:t>
            </w:r>
          </w:p>
        </w:tc>
        <w:tc>
          <w:tcPr>
            <w:tcW w:w="2410" w:type="dxa"/>
            <w:vAlign w:val="center"/>
          </w:tcPr>
          <w:p w:rsidR="00C602A0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3,4</w:t>
            </w:r>
            <w:r w:rsidR="009E7359">
              <w:rPr>
                <w:rFonts w:ascii="Times New Roman" w:eastAsia="Calibri" w:hAnsi="Times New Roman"/>
                <w:b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268" w:type="dxa"/>
            <w:vAlign w:val="center"/>
          </w:tcPr>
          <w:p w:rsidR="009E7359" w:rsidRPr="00D970BD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16000,0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2520C6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>Проверка сметных документов по ремонту автомобил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ь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 xml:space="preserve">ных дорог общего пользования, </w:t>
            </w:r>
            <w:proofErr w:type="spellStart"/>
            <w:r w:rsidRPr="00DF041F">
              <w:rPr>
                <w:rFonts w:ascii="Times New Roman" w:hAnsi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268" w:type="dxa"/>
            <w:vAlign w:val="center"/>
          </w:tcPr>
          <w:p w:rsidR="009E7359" w:rsidRP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5C3A21" w:rsidRPr="00D970BD" w:rsidTr="002520C6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C3A21" w:rsidRPr="0046679E" w:rsidRDefault="005C3A21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5C3A21" w:rsidRPr="005C3A21" w:rsidRDefault="005C3A21" w:rsidP="002520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3A21">
              <w:rPr>
                <w:rFonts w:ascii="Times New Roman" w:hAnsi="Times New Roman"/>
                <w:sz w:val="26"/>
                <w:szCs w:val="26"/>
              </w:rPr>
              <w:t>Приобретение дорожно-эксплуатационной техники, н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е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обходимой для выполнения комплекса работ по подде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р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жанию надлежащего технического состояния автом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о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бильных дорого общего пользования за счет средств м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у</w:t>
            </w:r>
            <w:r w:rsidRPr="005C3A21">
              <w:rPr>
                <w:rFonts w:ascii="Times New Roman" w:hAnsi="Times New Roman"/>
                <w:sz w:val="26"/>
                <w:szCs w:val="26"/>
              </w:rPr>
              <w:t>ниципального дорожного фонда.</w:t>
            </w:r>
          </w:p>
        </w:tc>
        <w:tc>
          <w:tcPr>
            <w:tcW w:w="1559" w:type="dxa"/>
            <w:vAlign w:val="center"/>
          </w:tcPr>
          <w:p w:rsid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C3A21" w:rsidRPr="005C3A21" w:rsidRDefault="0033395B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C3A21" w:rsidRPr="005C3A21">
              <w:rPr>
                <w:rFonts w:ascii="Times New Roman" w:hAnsi="Times New Roman"/>
                <w:sz w:val="26"/>
                <w:szCs w:val="26"/>
              </w:rPr>
              <w:t>45,2</w:t>
            </w:r>
          </w:p>
        </w:tc>
        <w:tc>
          <w:tcPr>
            <w:tcW w:w="2268" w:type="dxa"/>
            <w:vAlign w:val="center"/>
          </w:tcPr>
          <w:p w:rsidR="005C3A21" w:rsidRPr="005C3A21" w:rsidRDefault="0033395B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5C3A21" w:rsidRPr="005C3A21">
              <w:rPr>
                <w:rFonts w:ascii="Times New Roman" w:hAnsi="Times New Roman"/>
                <w:sz w:val="26"/>
                <w:szCs w:val="26"/>
              </w:rPr>
              <w:t>45,2</w:t>
            </w:r>
          </w:p>
        </w:tc>
        <w:tc>
          <w:tcPr>
            <w:tcW w:w="2410" w:type="dxa"/>
            <w:vAlign w:val="center"/>
          </w:tcPr>
          <w:p w:rsidR="005C3A21" w:rsidRDefault="005C3A21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2520C6">
        <w:tc>
          <w:tcPr>
            <w:tcW w:w="7338" w:type="dxa"/>
            <w:gridSpan w:val="4"/>
            <w:vAlign w:val="center"/>
          </w:tcPr>
          <w:p w:rsidR="009E7359" w:rsidRPr="00D970BD" w:rsidRDefault="009E7359" w:rsidP="00252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268" w:type="dxa"/>
            <w:vAlign w:val="center"/>
          </w:tcPr>
          <w:p w:rsidR="009E7359" w:rsidRDefault="00C602A0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27370,9</w:t>
            </w:r>
          </w:p>
        </w:tc>
        <w:tc>
          <w:tcPr>
            <w:tcW w:w="2410" w:type="dxa"/>
            <w:vAlign w:val="center"/>
          </w:tcPr>
          <w:p w:rsidR="009E7359" w:rsidRDefault="009E7359" w:rsidP="0025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47" w:rsidRDefault="005A0F47" w:rsidP="009508CF">
      <w:pPr>
        <w:spacing w:after="0" w:line="240" w:lineRule="auto"/>
      </w:pPr>
      <w:r>
        <w:separator/>
      </w:r>
    </w:p>
  </w:endnote>
  <w:endnote w:type="continuationSeparator" w:id="0">
    <w:p w:rsidR="005A0F47" w:rsidRDefault="005A0F47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47" w:rsidRDefault="005A0F47" w:rsidP="009508CF">
      <w:pPr>
        <w:spacing w:after="0" w:line="240" w:lineRule="auto"/>
      </w:pPr>
      <w:r>
        <w:separator/>
      </w:r>
    </w:p>
  </w:footnote>
  <w:footnote w:type="continuationSeparator" w:id="0">
    <w:p w:rsidR="005A0F47" w:rsidRDefault="005A0F47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0F60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54871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A5A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26BA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395B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A9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0F12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0F47"/>
    <w:rsid w:val="005A33DD"/>
    <w:rsid w:val="005A5262"/>
    <w:rsid w:val="005A60CB"/>
    <w:rsid w:val="005B28FF"/>
    <w:rsid w:val="005B2C5A"/>
    <w:rsid w:val="005B5366"/>
    <w:rsid w:val="005B6FE6"/>
    <w:rsid w:val="005C0052"/>
    <w:rsid w:val="005C338E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1C14"/>
    <w:rsid w:val="0063330F"/>
    <w:rsid w:val="00637AB2"/>
    <w:rsid w:val="0064342E"/>
    <w:rsid w:val="00643543"/>
    <w:rsid w:val="00645648"/>
    <w:rsid w:val="006524E0"/>
    <w:rsid w:val="00652601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44A"/>
    <w:rsid w:val="007C27F1"/>
    <w:rsid w:val="007C399B"/>
    <w:rsid w:val="007C45B3"/>
    <w:rsid w:val="007C4E69"/>
    <w:rsid w:val="007C5046"/>
    <w:rsid w:val="007C6F09"/>
    <w:rsid w:val="007C7654"/>
    <w:rsid w:val="007D2119"/>
    <w:rsid w:val="007D223D"/>
    <w:rsid w:val="007D27F6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18B1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73080"/>
    <w:rsid w:val="0098090E"/>
    <w:rsid w:val="00982F2C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D3C0B"/>
    <w:rsid w:val="009E0C5A"/>
    <w:rsid w:val="009E5D94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1B91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D7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76BE2"/>
    <w:rsid w:val="00B80090"/>
    <w:rsid w:val="00B83FAB"/>
    <w:rsid w:val="00B84819"/>
    <w:rsid w:val="00B84D68"/>
    <w:rsid w:val="00B85914"/>
    <w:rsid w:val="00B909F3"/>
    <w:rsid w:val="00B91639"/>
    <w:rsid w:val="00B9420D"/>
    <w:rsid w:val="00B95943"/>
    <w:rsid w:val="00BA00A0"/>
    <w:rsid w:val="00BA04DE"/>
    <w:rsid w:val="00BA3159"/>
    <w:rsid w:val="00BA4130"/>
    <w:rsid w:val="00BA49B6"/>
    <w:rsid w:val="00BA7D7E"/>
    <w:rsid w:val="00BA7F52"/>
    <w:rsid w:val="00BB1CFC"/>
    <w:rsid w:val="00BB2D50"/>
    <w:rsid w:val="00BB6640"/>
    <w:rsid w:val="00BC075D"/>
    <w:rsid w:val="00BC569A"/>
    <w:rsid w:val="00BC78F0"/>
    <w:rsid w:val="00BD0901"/>
    <w:rsid w:val="00BD2A18"/>
    <w:rsid w:val="00BD2CF9"/>
    <w:rsid w:val="00BD2ED7"/>
    <w:rsid w:val="00BD557E"/>
    <w:rsid w:val="00BE214D"/>
    <w:rsid w:val="00BE23AA"/>
    <w:rsid w:val="00BE653F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5314"/>
    <w:rsid w:val="00C4725C"/>
    <w:rsid w:val="00C5077A"/>
    <w:rsid w:val="00C5618E"/>
    <w:rsid w:val="00C602A0"/>
    <w:rsid w:val="00C629AD"/>
    <w:rsid w:val="00C64012"/>
    <w:rsid w:val="00C6449B"/>
    <w:rsid w:val="00C64BCC"/>
    <w:rsid w:val="00C661D7"/>
    <w:rsid w:val="00C66702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68F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20E24"/>
    <w:rsid w:val="00D31D9C"/>
    <w:rsid w:val="00D35125"/>
    <w:rsid w:val="00D354F8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2E2E"/>
    <w:rsid w:val="00F64543"/>
    <w:rsid w:val="00F66B81"/>
    <w:rsid w:val="00F82874"/>
    <w:rsid w:val="00F84563"/>
    <w:rsid w:val="00F86557"/>
    <w:rsid w:val="00F867C4"/>
    <w:rsid w:val="00F9363F"/>
    <w:rsid w:val="00F93AAE"/>
    <w:rsid w:val="00F9584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9C40-37C0-46E7-96F4-28CA4DF9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33</Pages>
  <Words>12388</Words>
  <Characters>70616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100</cp:revision>
  <cp:lastPrinted>2021-07-20T06:11:00Z</cp:lastPrinted>
  <dcterms:created xsi:type="dcterms:W3CDTF">2019-05-16T09:51:00Z</dcterms:created>
  <dcterms:modified xsi:type="dcterms:W3CDTF">2021-07-20T06:13:00Z</dcterms:modified>
</cp:coreProperties>
</file>