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24" w:rsidRDefault="00E445B7" w:rsidP="00BB7019">
      <w:pPr>
        <w:jc w:val="center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t>АДМИНИСТРАЦИЯ</w:t>
      </w:r>
    </w:p>
    <w:p w:rsidR="00D27524" w:rsidRDefault="00CD30DA" w:rsidP="00BB7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BB7019" w:rsidRPr="00BB7113">
        <w:rPr>
          <w:b/>
          <w:bCs/>
          <w:sz w:val="28"/>
          <w:szCs w:val="28"/>
        </w:rPr>
        <w:t xml:space="preserve"> МУНИЦИПАЛЬНОГО О</w:t>
      </w:r>
      <w:r w:rsidR="00E445B7" w:rsidRPr="00BB7113">
        <w:rPr>
          <w:b/>
          <w:bCs/>
          <w:sz w:val="28"/>
          <w:szCs w:val="28"/>
        </w:rPr>
        <w:t>БРАЗОВАНИЯ</w:t>
      </w:r>
    </w:p>
    <w:p w:rsidR="00D27524" w:rsidRDefault="00E445B7" w:rsidP="00BB7019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BB7113"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E445B7" w:rsidRPr="00BB7113" w:rsidRDefault="00E445B7" w:rsidP="00BB7019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BB7113"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 w:rsidR="00E445B7" w:rsidRPr="00BB7113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BB7113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BB7113" w:rsidRDefault="00E445B7" w:rsidP="00BB7019">
      <w:pPr>
        <w:spacing w:line="252" w:lineRule="auto"/>
        <w:jc w:val="center"/>
        <w:rPr>
          <w:sz w:val="28"/>
          <w:szCs w:val="28"/>
        </w:rPr>
      </w:pPr>
      <w:r w:rsidRPr="00BB7113">
        <w:rPr>
          <w:b/>
          <w:bCs/>
          <w:color w:val="000000"/>
          <w:spacing w:val="20"/>
          <w:sz w:val="28"/>
          <w:szCs w:val="28"/>
        </w:rPr>
        <w:t>ПОСТАНОВЛЕНИЕ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№</w:t>
      </w:r>
      <w:r w:rsidR="00494692">
        <w:rPr>
          <w:b/>
          <w:bCs/>
          <w:color w:val="000000"/>
          <w:spacing w:val="20"/>
          <w:sz w:val="28"/>
          <w:szCs w:val="28"/>
        </w:rPr>
        <w:t>1</w:t>
      </w:r>
    </w:p>
    <w:p w:rsidR="00E445B7" w:rsidRPr="00BB7113" w:rsidRDefault="00E445B7" w:rsidP="00E445B7">
      <w:pPr>
        <w:jc w:val="center"/>
        <w:rPr>
          <w:sz w:val="28"/>
          <w:szCs w:val="28"/>
        </w:rPr>
      </w:pPr>
    </w:p>
    <w:p w:rsidR="00E445B7" w:rsidRPr="00BB7113" w:rsidRDefault="002302D9" w:rsidP="00E445B7">
      <w:pPr>
        <w:tabs>
          <w:tab w:val="left" w:pos="8677"/>
        </w:tabs>
        <w:rPr>
          <w:sz w:val="28"/>
          <w:szCs w:val="28"/>
        </w:rPr>
      </w:pPr>
      <w:r w:rsidRPr="005B7775">
        <w:rPr>
          <w:sz w:val="28"/>
          <w:szCs w:val="28"/>
        </w:rPr>
        <w:t xml:space="preserve">от </w:t>
      </w:r>
      <w:r w:rsidR="005B7775" w:rsidRPr="005B7775">
        <w:rPr>
          <w:sz w:val="28"/>
          <w:szCs w:val="28"/>
        </w:rPr>
        <w:t xml:space="preserve"> 12.01.2018</w:t>
      </w:r>
      <w:r w:rsidR="00494692" w:rsidRPr="005B7775">
        <w:rPr>
          <w:sz w:val="28"/>
          <w:szCs w:val="28"/>
        </w:rPr>
        <w:t>г.</w:t>
      </w:r>
      <w:r w:rsidR="005B7775">
        <w:rPr>
          <w:sz w:val="28"/>
          <w:szCs w:val="28"/>
        </w:rPr>
        <w:t xml:space="preserve"> </w:t>
      </w:r>
      <w:r w:rsidR="00494692"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BB7019" w:rsidRPr="00BB7113">
        <w:rPr>
          <w:sz w:val="28"/>
          <w:szCs w:val="28"/>
        </w:rPr>
        <w:t>с</w:t>
      </w:r>
      <w:proofErr w:type="gramEnd"/>
      <w:r w:rsidR="00BB7019" w:rsidRPr="00BB7113">
        <w:rPr>
          <w:sz w:val="28"/>
          <w:szCs w:val="28"/>
        </w:rPr>
        <w:t xml:space="preserve">. </w:t>
      </w:r>
      <w:r w:rsidR="00CD30DA">
        <w:rPr>
          <w:sz w:val="28"/>
          <w:szCs w:val="28"/>
        </w:rPr>
        <w:t>Николаевка</w:t>
      </w:r>
    </w:p>
    <w:p w:rsidR="00E445B7" w:rsidRPr="00BB7113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BB7113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>«Об утверждении методики прогнозирования</w:t>
      </w:r>
    </w:p>
    <w:p w:rsidR="00E445B7" w:rsidRPr="00BB7113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поступлений доходов в бюджет </w:t>
      </w:r>
      <w:r w:rsidR="00CD30DA">
        <w:rPr>
          <w:b/>
          <w:bCs/>
          <w:color w:val="000000"/>
          <w:sz w:val="28"/>
          <w:szCs w:val="28"/>
        </w:rPr>
        <w:t>Николаевского</w:t>
      </w:r>
    </w:p>
    <w:p w:rsidR="00E445B7" w:rsidRPr="004776B5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муниципального образования»</w:t>
      </w:r>
    </w:p>
    <w:p w:rsidR="00565F77" w:rsidRPr="004776B5" w:rsidRDefault="00565F7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45B7" w:rsidRPr="00BB7113" w:rsidRDefault="00E445B7" w:rsidP="00E445B7">
      <w:pPr>
        <w:jc w:val="center"/>
        <w:rPr>
          <w:sz w:val="28"/>
          <w:szCs w:val="28"/>
        </w:rPr>
      </w:pP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 w:rsidR="00C7629A" w:rsidRPr="00BB7113">
        <w:rPr>
          <w:sz w:val="28"/>
          <w:szCs w:val="28"/>
        </w:rPr>
        <w:t xml:space="preserve"> администрация </w:t>
      </w:r>
      <w:r w:rsidR="00CD30DA">
        <w:rPr>
          <w:sz w:val="28"/>
          <w:szCs w:val="28"/>
        </w:rPr>
        <w:t>Николаевского</w:t>
      </w:r>
      <w:r w:rsidR="00C7629A" w:rsidRPr="00BB7113">
        <w:rPr>
          <w:sz w:val="28"/>
          <w:szCs w:val="28"/>
        </w:rPr>
        <w:t xml:space="preserve"> муниципального образования </w:t>
      </w:r>
      <w:r w:rsidR="00C7629A" w:rsidRPr="00BB7113">
        <w:rPr>
          <w:b/>
          <w:sz w:val="28"/>
          <w:szCs w:val="28"/>
        </w:rPr>
        <w:t>ПОСТАНОВЛЯЕТ:</w:t>
      </w:r>
    </w:p>
    <w:p w:rsidR="00E445B7" w:rsidRDefault="00E445B7" w:rsidP="00F04C3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755B9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r w:rsidR="00CD30DA">
        <w:rPr>
          <w:sz w:val="28"/>
          <w:szCs w:val="28"/>
        </w:rPr>
        <w:t>Николаевского</w:t>
      </w:r>
      <w:r w:rsidRPr="009755B9">
        <w:rPr>
          <w:sz w:val="28"/>
          <w:szCs w:val="28"/>
        </w:rPr>
        <w:t xml:space="preserve"> муниципального образования, в отношении котор</w:t>
      </w:r>
      <w:r w:rsidR="003D43BD" w:rsidRPr="009755B9">
        <w:rPr>
          <w:sz w:val="28"/>
          <w:szCs w:val="28"/>
        </w:rPr>
        <w:t>ых администрация</w:t>
      </w:r>
      <w:r w:rsidR="00494692">
        <w:rPr>
          <w:sz w:val="28"/>
          <w:szCs w:val="28"/>
        </w:rPr>
        <w:t xml:space="preserve"> </w:t>
      </w:r>
      <w:r w:rsidR="00CD30DA">
        <w:rPr>
          <w:sz w:val="28"/>
          <w:szCs w:val="28"/>
        </w:rPr>
        <w:t>Николаевского</w:t>
      </w:r>
      <w:r w:rsidR="00494692">
        <w:rPr>
          <w:sz w:val="28"/>
          <w:szCs w:val="28"/>
        </w:rPr>
        <w:t xml:space="preserve"> муниципального образования </w:t>
      </w:r>
      <w:r w:rsidRPr="009755B9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5E54ED" w:rsidRPr="009755B9" w:rsidRDefault="005E54ED" w:rsidP="00F04C3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</w:t>
      </w:r>
      <w:r w:rsidR="00494692">
        <w:rPr>
          <w:bCs/>
          <w:color w:val="000000"/>
          <w:sz w:val="28"/>
          <w:szCs w:val="28"/>
        </w:rPr>
        <w:t>№13-а</w:t>
      </w:r>
      <w:r w:rsidRPr="00E0235F">
        <w:rPr>
          <w:bCs/>
          <w:color w:val="000000"/>
          <w:sz w:val="28"/>
          <w:szCs w:val="28"/>
        </w:rPr>
        <w:t xml:space="preserve"> от </w:t>
      </w:r>
      <w:r w:rsidR="00494692">
        <w:rPr>
          <w:bCs/>
          <w:color w:val="000000"/>
          <w:sz w:val="28"/>
          <w:szCs w:val="28"/>
        </w:rPr>
        <w:t>16.06.2017</w:t>
      </w:r>
      <w:r w:rsidRPr="00E0235F">
        <w:rPr>
          <w:bCs/>
          <w:color w:val="000000"/>
          <w:sz w:val="28"/>
          <w:szCs w:val="28"/>
        </w:rPr>
        <w:t>г. «Об утверждении методики прогнозирования по</w:t>
      </w:r>
      <w:r>
        <w:rPr>
          <w:bCs/>
          <w:color w:val="000000"/>
          <w:sz w:val="28"/>
          <w:szCs w:val="28"/>
        </w:rPr>
        <w:t>ступлений доходов в бюджет Николае</w:t>
      </w:r>
      <w:r w:rsidRPr="00E0235F">
        <w:rPr>
          <w:bCs/>
          <w:color w:val="000000"/>
          <w:sz w:val="28"/>
          <w:szCs w:val="28"/>
        </w:rPr>
        <w:t>вского муниципального образования»</w:t>
      </w:r>
    </w:p>
    <w:p w:rsidR="00445F4F" w:rsidRPr="009D07C5" w:rsidRDefault="005E54ED" w:rsidP="00F04C3C">
      <w:pPr>
        <w:pStyle w:val="ConsPlusNormal"/>
        <w:ind w:firstLine="709"/>
        <w:jc w:val="both"/>
      </w:pPr>
      <w:r>
        <w:t>3.</w:t>
      </w:r>
      <w:r w:rsidR="00445F4F" w:rsidRPr="009D07C5">
        <w:t xml:space="preserve"> Постановление вступает в силу с момента подписания и распространяется на правоотношения, возникшие с 1 января 201</w:t>
      </w:r>
      <w:r w:rsidR="00494692">
        <w:t>8</w:t>
      </w:r>
      <w:r w:rsidR="00445F4F" w:rsidRPr="009D07C5">
        <w:t xml:space="preserve"> года.</w:t>
      </w:r>
    </w:p>
    <w:p w:rsidR="00E445B7" w:rsidRPr="00BB7113" w:rsidRDefault="005E54ED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5B7" w:rsidRPr="00BB7113">
        <w:rPr>
          <w:sz w:val="28"/>
          <w:szCs w:val="28"/>
        </w:rPr>
        <w:t xml:space="preserve">. Контроль за исполнением настоящего постановления </w:t>
      </w:r>
      <w:r w:rsidR="00BB7019" w:rsidRPr="00BB7113">
        <w:rPr>
          <w:sz w:val="28"/>
          <w:szCs w:val="28"/>
        </w:rPr>
        <w:t>оставляю за собой.</w:t>
      </w:r>
    </w:p>
    <w:p w:rsidR="00BB7019" w:rsidRPr="00BB7113" w:rsidRDefault="00BB7019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B7019" w:rsidRPr="00BB7113" w:rsidRDefault="00BB7019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019" w:rsidRPr="00BB7113" w:rsidRDefault="00BB7019" w:rsidP="00F04C3C">
      <w:pPr>
        <w:pStyle w:val="s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B7019" w:rsidRPr="00BB7113" w:rsidRDefault="00E445B7" w:rsidP="00F04C3C">
      <w:pPr>
        <w:jc w:val="both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t xml:space="preserve">Глава </w:t>
      </w:r>
      <w:r w:rsidR="00CD30DA">
        <w:rPr>
          <w:b/>
          <w:bCs/>
          <w:sz w:val="28"/>
          <w:szCs w:val="28"/>
        </w:rPr>
        <w:t>Николаевского</w:t>
      </w:r>
    </w:p>
    <w:p w:rsidR="00E445B7" w:rsidRPr="00BB7113" w:rsidRDefault="00BB7113" w:rsidP="00F04C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BB7019" w:rsidRPr="00BB7113">
        <w:rPr>
          <w:b/>
          <w:bCs/>
          <w:sz w:val="28"/>
          <w:szCs w:val="28"/>
        </w:rPr>
        <w:t>униципального образования: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7019" w:rsidRPr="00BB7113">
        <w:rPr>
          <w:b/>
          <w:bCs/>
          <w:sz w:val="28"/>
          <w:szCs w:val="28"/>
        </w:rPr>
        <w:tab/>
      </w:r>
      <w:r w:rsidR="00BB7019" w:rsidRPr="00BB7113">
        <w:rPr>
          <w:b/>
          <w:bCs/>
          <w:sz w:val="28"/>
          <w:szCs w:val="28"/>
        </w:rPr>
        <w:tab/>
      </w:r>
      <w:r w:rsidR="00CD30DA">
        <w:rPr>
          <w:b/>
          <w:bCs/>
          <w:sz w:val="28"/>
          <w:szCs w:val="28"/>
        </w:rPr>
        <w:t>А.А. Демидов</w:t>
      </w:r>
    </w:p>
    <w:p w:rsidR="00BB7019" w:rsidRPr="00BB7113" w:rsidRDefault="00BB7019">
      <w:pPr>
        <w:spacing w:after="200" w:line="276" w:lineRule="auto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br w:type="page"/>
      </w:r>
    </w:p>
    <w:p w:rsidR="00494692" w:rsidRDefault="00E445B7" w:rsidP="00E445B7">
      <w:pPr>
        <w:pStyle w:val="s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 w:rsidRPr="00BB7113">
        <w:rPr>
          <w:sz w:val="28"/>
          <w:szCs w:val="28"/>
          <w:lang w:eastAsia="ar-SA"/>
        </w:rPr>
        <w:lastRenderedPageBreak/>
        <w:t xml:space="preserve">Приложение </w:t>
      </w:r>
    </w:p>
    <w:p w:rsidR="00E445B7" w:rsidRPr="00BB7113" w:rsidRDefault="00E445B7" w:rsidP="00E445B7">
      <w:pPr>
        <w:pStyle w:val="s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B7113">
        <w:rPr>
          <w:sz w:val="28"/>
          <w:szCs w:val="28"/>
          <w:lang w:eastAsia="ar-SA"/>
        </w:rPr>
        <w:t xml:space="preserve">к постановлению </w:t>
      </w:r>
      <w:proofErr w:type="gramStart"/>
      <w:r w:rsidR="00CD30DA">
        <w:rPr>
          <w:bCs/>
          <w:color w:val="000000"/>
          <w:sz w:val="28"/>
          <w:szCs w:val="28"/>
        </w:rPr>
        <w:t>Николаевского</w:t>
      </w:r>
      <w:proofErr w:type="gramEnd"/>
    </w:p>
    <w:p w:rsidR="00BB7019" w:rsidRPr="00BB7113" w:rsidRDefault="00E445B7" w:rsidP="00E445B7">
      <w:pPr>
        <w:tabs>
          <w:tab w:val="left" w:pos="10200"/>
        </w:tabs>
        <w:suppressAutoHyphens/>
        <w:ind w:left="5040"/>
        <w:jc w:val="right"/>
        <w:rPr>
          <w:sz w:val="28"/>
          <w:szCs w:val="28"/>
          <w:lang w:eastAsia="ar-SA"/>
        </w:rPr>
      </w:pPr>
      <w:r w:rsidRPr="00BB7113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E445B7" w:rsidRPr="00BB7113" w:rsidRDefault="00BB7019" w:rsidP="00E445B7">
      <w:pPr>
        <w:tabs>
          <w:tab w:val="left" w:pos="10200"/>
        </w:tabs>
        <w:suppressAutoHyphens/>
        <w:ind w:left="5040"/>
        <w:jc w:val="right"/>
        <w:rPr>
          <w:sz w:val="28"/>
          <w:szCs w:val="28"/>
        </w:rPr>
      </w:pPr>
      <w:r w:rsidRPr="00BB7113">
        <w:rPr>
          <w:sz w:val="28"/>
          <w:szCs w:val="28"/>
          <w:lang w:eastAsia="ar-SA"/>
        </w:rPr>
        <w:t>№</w:t>
      </w:r>
      <w:r w:rsidR="00494692">
        <w:rPr>
          <w:sz w:val="28"/>
          <w:szCs w:val="28"/>
          <w:lang w:eastAsia="ar-SA"/>
        </w:rPr>
        <w:t>1</w:t>
      </w:r>
      <w:r w:rsidRPr="00BB7113">
        <w:rPr>
          <w:sz w:val="28"/>
          <w:szCs w:val="28"/>
          <w:lang w:eastAsia="ar-SA"/>
        </w:rPr>
        <w:t xml:space="preserve"> от </w:t>
      </w:r>
      <w:r w:rsidR="00494692">
        <w:rPr>
          <w:sz w:val="28"/>
          <w:szCs w:val="28"/>
          <w:lang w:eastAsia="ar-SA"/>
        </w:rPr>
        <w:t xml:space="preserve">30.01.2018 </w:t>
      </w:r>
      <w:r w:rsidR="00E445B7" w:rsidRPr="00BB7113">
        <w:rPr>
          <w:sz w:val="28"/>
          <w:szCs w:val="28"/>
          <w:lang w:eastAsia="ar-SA"/>
        </w:rPr>
        <w:t xml:space="preserve">года 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Методика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прогнозирования поступлений доходов в бюджет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b/>
          <w:bCs/>
          <w:color w:val="FF0000"/>
          <w:sz w:val="28"/>
          <w:szCs w:val="28"/>
        </w:rPr>
        <w:t xml:space="preserve">Николаевского </w:t>
      </w:r>
      <w:r>
        <w:rPr>
          <w:rFonts w:ascii="yandex-sans" w:hAnsi="yandex-sans"/>
          <w:b/>
          <w:bCs/>
          <w:color w:val="000000"/>
          <w:sz w:val="28"/>
          <w:szCs w:val="28"/>
        </w:rPr>
        <w:t>муниципального образования, в отношении которых администрация Николаевского</w:t>
      </w:r>
      <w:r>
        <w:rPr>
          <w:rStyle w:val="apple-converted-space"/>
          <w:rFonts w:ascii="yandex-sans" w:hAnsi="yandex-sans"/>
          <w:b/>
          <w:bCs/>
          <w:color w:val="FF0000"/>
          <w:sz w:val="28"/>
          <w:szCs w:val="28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муниципального образования осуществляет полномочия главного администратора доходов бюджета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 xml:space="preserve"> Николаевского </w:t>
      </w:r>
      <w:r>
        <w:rPr>
          <w:rFonts w:ascii="yandex-sans" w:hAnsi="yandex-sans"/>
          <w:color w:val="000000"/>
          <w:sz w:val="28"/>
          <w:szCs w:val="28"/>
        </w:rPr>
        <w:t>муниципального образования осуществляет полномочия главного администратора доходов бюджета (далее – Доходы), определяет основные принципы прогнозирования доходов на очередной финансовый год.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2. Методика прогнозирования разрабатывается по каждому виду доходов и содержит: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bookmarkStart w:id="1" w:name="sub_10031"/>
      <w:bookmarkEnd w:id="1"/>
      <w:r>
        <w:rPr>
          <w:rFonts w:ascii="yandex-sans" w:hAnsi="yandex-sans"/>
          <w:color w:val="000000"/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bookmarkStart w:id="2" w:name="sub_10032"/>
      <w:bookmarkEnd w:id="2"/>
      <w:r>
        <w:rPr>
          <w:rFonts w:ascii="yandex-sans" w:hAnsi="yandex-sans"/>
          <w:color w:val="000000"/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описание фактического алгоритма расчета прогнозируемого объема поступлений в бюджеты бюджетной системы Российской Федерации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Для расчета прогнозного объема поступлений по каждому виду доходов применяется один из следующих методов расчета: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усреднение – расчет, осуществляемый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;</w:t>
      </w:r>
      <w:proofErr w:type="gramEnd"/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3.Доходы подразделяются на два вида доходов: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прогнозируемые доходы;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-непрогнозируемые, но фактически поступающие в доход бюджета муниципального образования.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 В состав прогнозируемых доходов бюджета муниципального образования включаются доходы: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4.1.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11105035100000120) метод прямого расчета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Паи = (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Нп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+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Сно</w:t>
      </w:r>
      <w:r>
        <w:rPr>
          <w:rFonts w:ascii="yandex-sans" w:hAnsi="yandex-sans"/>
          <w:b/>
          <w:bCs/>
          <w:color w:val="000000"/>
          <w:sz w:val="28"/>
          <w:szCs w:val="28"/>
          <w:u w:val="single"/>
        </w:rPr>
        <w:t>+</w:t>
      </w:r>
      <w:proofErr w:type="spellEnd"/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u w:val="single"/>
        </w:rPr>
        <w:t> 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Вп</w:t>
      </w:r>
      <w:proofErr w:type="spellEnd"/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)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х</w:t>
      </w:r>
      <w:proofErr w:type="gramEnd"/>
      <w:r>
        <w:rPr>
          <w:rFonts w:ascii="yandex-sans" w:hAnsi="yandex-sans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где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Паи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прогноз поступления арендной платы за имущество;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Нп</w:t>
      </w:r>
      <w:proofErr w:type="spellEnd"/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- сумма начисленной арендной платы за имущество по договорам аренды в текущем финансовом году;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Сно</w:t>
      </w:r>
      <w:proofErr w:type="spellEnd"/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3"/>
          <w:szCs w:val="23"/>
        </w:rPr>
        <w:t>-</w:t>
      </w:r>
      <w:r>
        <w:rPr>
          <w:rStyle w:val="apple-converted-space"/>
          <w:rFonts w:ascii="yandex-sans" w:hAnsi="yandex-sans"/>
          <w:color w:val="000000"/>
          <w:sz w:val="23"/>
          <w:szCs w:val="23"/>
        </w:rPr>
        <w:t> </w:t>
      </w:r>
      <w:r>
        <w:rPr>
          <w:rFonts w:ascii="yandex-sans" w:hAnsi="yandex-sans"/>
          <w:color w:val="000000"/>
          <w:sz w:val="28"/>
          <w:szCs w:val="28"/>
        </w:rPr>
        <w:t>сумма неисполненных обязательств (недоимка) арендаторами, подлежащая поступлению в планируемом году)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;</w:t>
      </w:r>
      <w:proofErr w:type="gramEnd"/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Вп</w:t>
      </w:r>
      <w:proofErr w:type="spellEnd"/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Н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норматив отчислений (в процентах) в бюджет муниципального образования.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4.2. доходы, поступающие в порядке возмещения расходов, понесенных в связи с эксплуатацией имущества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11302065100000130) метод прямого расчета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center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Двр=</w:t>
      </w:r>
      <w:proofErr w:type="spellEnd"/>
      <w:r>
        <w:rPr>
          <w:rFonts w:ascii="Symbol" w:hAnsi="Symbol"/>
          <w:b/>
          <w:bCs/>
          <w:color w:val="000000"/>
          <w:sz w:val="28"/>
          <w:szCs w:val="28"/>
        </w:rPr>
        <w:sym w:font="Symbol" w:char="F053"/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yandex-sans" w:hAnsi="yandex-sans"/>
          <w:b/>
          <w:bCs/>
          <w:color w:val="000000"/>
          <w:sz w:val="28"/>
          <w:szCs w:val="28"/>
          <w:lang w:val="en-US"/>
        </w:rPr>
        <w:t>K</w:t>
      </w:r>
      <w:r>
        <w:rPr>
          <w:rFonts w:ascii="yandex-sans" w:hAnsi="yandex-sans"/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vertAlign w:val="subscript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-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  <w:lang w:val="en-US"/>
        </w:rPr>
        <w:t>K</w:t>
      </w:r>
      <w:r>
        <w:rPr>
          <w:rFonts w:ascii="yandex-sans" w:hAnsi="yandex-sans"/>
          <w:b/>
          <w:bCs/>
          <w:color w:val="000000"/>
          <w:sz w:val="28"/>
          <w:szCs w:val="28"/>
          <w:vertAlign w:val="subscript"/>
        </w:rPr>
        <w:t>расторг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vertAlign w:val="subscript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+ 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К</w:t>
      </w:r>
      <w:r>
        <w:rPr>
          <w:rFonts w:ascii="yandex-sans" w:hAnsi="yandex-sans"/>
          <w:b/>
          <w:bCs/>
          <w:color w:val="000000"/>
          <w:sz w:val="28"/>
          <w:szCs w:val="28"/>
          <w:vertAlign w:val="subscript"/>
        </w:rPr>
        <w:t>нов</w:t>
      </w:r>
      <w:proofErr w:type="spellEnd"/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vertAlign w:val="subscript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+ 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х</w:t>
      </w:r>
      <w:proofErr w:type="spellEnd"/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Н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b/>
          <w:bCs/>
          <w:color w:val="000000"/>
          <w:sz w:val="28"/>
          <w:szCs w:val="28"/>
        </w:rPr>
        <w:t>,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где: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Двр</w:t>
      </w:r>
      <w:proofErr w:type="spellEnd"/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прогноз поступлений доходов, поступающих в порядке возмещения расходов;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∑</w:t>
      </w:r>
      <w:proofErr w:type="spellStart"/>
      <w:r>
        <w:rPr>
          <w:rFonts w:ascii="yandex-sans" w:hAnsi="yandex-sans"/>
          <w:b/>
          <w:bCs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yandex-sans" w:hAnsi="yandex-sans"/>
          <w:b/>
          <w:bCs/>
          <w:color w:val="000000"/>
          <w:sz w:val="28"/>
          <w:szCs w:val="28"/>
          <w:lang w:val="en-US"/>
        </w:rPr>
        <w:t>K</w:t>
      </w:r>
      <w:r>
        <w:rPr>
          <w:rFonts w:ascii="yandex-sans" w:hAnsi="yandex-sans"/>
          <w:b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apple-converted-space"/>
          <w:rFonts w:ascii="yandex-sans" w:hAnsi="yandex-sans"/>
          <w:color w:val="000000"/>
          <w:sz w:val="28"/>
          <w:szCs w:val="28"/>
          <w:vertAlign w:val="subscript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размер годовых начислений по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yandex-sans" w:hAnsi="yandex-sans"/>
          <w:color w:val="000000"/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  <w:lang w:val="en-US"/>
        </w:rPr>
        <w:t>K</w:t>
      </w:r>
      <w:r>
        <w:rPr>
          <w:rFonts w:ascii="yandex-sans" w:hAnsi="yandex-sans"/>
          <w:b/>
          <w:bCs/>
          <w:color w:val="000000"/>
          <w:sz w:val="28"/>
          <w:szCs w:val="28"/>
          <w:vertAlign w:val="subscript"/>
        </w:rPr>
        <w:t>расторг</w:t>
      </w:r>
      <w:r>
        <w:rPr>
          <w:rStyle w:val="apple-converted-space"/>
          <w:rFonts w:ascii="yandex-sans" w:hAnsi="yandex-sans"/>
          <w:b/>
          <w:bCs/>
          <w:color w:val="000000"/>
          <w:sz w:val="28"/>
          <w:szCs w:val="28"/>
          <w:vertAlign w:val="subscript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rFonts w:ascii="yandex-sans" w:hAnsi="yandex-sans"/>
          <w:b/>
          <w:bCs/>
          <w:color w:val="000000"/>
          <w:sz w:val="28"/>
          <w:szCs w:val="28"/>
        </w:rPr>
        <w:t>К</w:t>
      </w:r>
      <w:r>
        <w:rPr>
          <w:rFonts w:ascii="yandex-sans" w:hAnsi="yandex-sans"/>
          <w:b/>
          <w:bCs/>
          <w:color w:val="000000"/>
          <w:sz w:val="28"/>
          <w:szCs w:val="28"/>
          <w:vertAlign w:val="subscript"/>
        </w:rPr>
        <w:t>нов</w:t>
      </w:r>
      <w:proofErr w:type="spellEnd"/>
      <w:r>
        <w:rPr>
          <w:rStyle w:val="apple-converted-space"/>
          <w:rFonts w:ascii="yandex-sans" w:hAnsi="yandex-sans"/>
          <w:color w:val="000000"/>
          <w:sz w:val="28"/>
          <w:szCs w:val="28"/>
          <w:vertAlign w:val="subscript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8"/>
          <w:szCs w:val="28"/>
        </w:rPr>
        <w:t>З</w:t>
      </w:r>
      <w:proofErr w:type="gramEnd"/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размер прогнозируемого погашения задолженности;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Н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– норматив отчислений (в процентах) в бюджет муниципального образования.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4.3. Доходы,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случае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остальных случаях применяется один из методов, указанных в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пункте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2 настоящей методики.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Доходы от гражданско-правовой, административной и уголовной ответственности: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выгодоприобретателями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выступают получатели средств бюджетов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11623051100000140);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доходы от возмещения ущерба при возникновении иных страховых случаев, когда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выгодоприобретателями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выступают получатели средств бюджетов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11623052100000140);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11651040020000140);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11690050100000140).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4.4.Прогнозирование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 межбюджетным трансфертам относятся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:</w:t>
      </w:r>
      <w:proofErr w:type="gramEnd"/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</w:t>
      </w:r>
      <w:r>
        <w:rPr>
          <w:rStyle w:val="apple-converted-space"/>
          <w:rFonts w:ascii="yandex-sans" w:hAnsi="yandex-sans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дотации бюджетам сельских поселений на выравнивание бюджетной обеспеченности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20215001100000151);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20235118100000151);</w:t>
      </w:r>
    </w:p>
    <w:p w:rsidR="00494692" w:rsidRDefault="00494692" w:rsidP="00494692">
      <w:pPr>
        <w:pStyle w:val="a4"/>
        <w:shd w:val="clear" w:color="auto" w:fill="FFFFFF"/>
        <w:spacing w:before="0" w:beforeAutospacing="0" w:after="274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отсутствии в проекте решения бюджета муниципального района распределения между бюджетами муниципальных образований Ивантеевского муниципального района межбюджетных трансфертов, указанных в пункте 4.4 настоящей Методики, прогнозные объемы поступлений по ним принимаются равными нулю.</w:t>
      </w:r>
    </w:p>
    <w:p w:rsidR="00494692" w:rsidRDefault="00494692" w:rsidP="00494692">
      <w:pPr>
        <w:pStyle w:val="a4"/>
        <w:shd w:val="clear" w:color="auto" w:fill="FFFFFF"/>
        <w:spacing w:before="0" w:beforeAutospacing="0" w:after="274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В случае</w:t>
      </w:r>
      <w:proofErr w:type="gramStart"/>
      <w:r>
        <w:rPr>
          <w:rFonts w:ascii="yandex-sans" w:hAnsi="yandex-sans"/>
          <w:color w:val="000000"/>
          <w:sz w:val="28"/>
          <w:szCs w:val="28"/>
        </w:rPr>
        <w:t>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если в процессе доработки проекта решения бюджета муниципального района распределение между бюджетами муниципальных образований Ивантеевского муниципального района межбюджетных трансфертов, указанных в пункте 4.4 настоящей Методики, изменилось, соответствующие корректировки вносятся в прогнозные объемы поступлений в бюджет муниципального образования.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5. В состав непрогнозируемым, но фактически поступающих в бюджет муниципального образования, доходов включаются доходы бюджета муниципального образования</w:t>
      </w: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 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Прогнозные поступления по ним принимаются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равными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нулю.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 непрогнозируемым, но фактически поступающим доходам в бюджет муниципального образования, относятся: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10804020010000110)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10807175010000110);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доходы от размещения временно свободных средств бюджетов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11102033100000120);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 w:rsidR="008635B7">
        <w:rPr>
          <w:rFonts w:ascii="yandex-sans" w:hAnsi="yandex-sans"/>
          <w:color w:val="000000"/>
          <w:sz w:val="28"/>
          <w:szCs w:val="28"/>
        </w:rPr>
        <w:t>111030501000</w:t>
      </w:r>
      <w:r>
        <w:rPr>
          <w:rFonts w:ascii="yandex-sans" w:hAnsi="yandex-sans"/>
          <w:color w:val="000000"/>
          <w:sz w:val="28"/>
          <w:szCs w:val="28"/>
        </w:rPr>
        <w:t>00120);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11105025100000120);</w:t>
      </w:r>
      <w:proofErr w:type="gramEnd"/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11109045100000120);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прочие доходы от оказания платных услуг (работ) получателями средств бюджетов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11301995100000130);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прочие доходы от компенсации затрат бюджетов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11302995100000130);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11402052100000410);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11402052100000440);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11402053100000410);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11402053100000440);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-доходы от продажи нематериальных активов, находящихся в собственности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11404050100000420);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11406025100000430);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невыясненные поступления, зачисляемые в бюджеты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11701050100000180);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прочие неналоговые доходы бюджетов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11705050100000180);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ind w:firstLine="993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- прочие безвозмездные поступления в бюджеты сельских поселений (</w:t>
      </w:r>
      <w:r>
        <w:rPr>
          <w:rFonts w:ascii="yandex-sans" w:hAnsi="yandex-sans"/>
          <w:color w:val="FF0000"/>
          <w:sz w:val="28"/>
          <w:szCs w:val="28"/>
        </w:rPr>
        <w:t>311</w:t>
      </w:r>
      <w:r>
        <w:rPr>
          <w:rFonts w:ascii="yandex-sans" w:hAnsi="yandex-sans"/>
          <w:color w:val="000000"/>
          <w:sz w:val="28"/>
          <w:szCs w:val="28"/>
        </w:rPr>
        <w:t>20705030100000180).</w:t>
      </w:r>
    </w:p>
    <w:p w:rsidR="00494692" w:rsidRDefault="00494692" w:rsidP="00494692">
      <w:pPr>
        <w:pStyle w:val="a4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E445B7" w:rsidRPr="00BB7113" w:rsidRDefault="00E445B7" w:rsidP="00F04C3C">
      <w:pPr>
        <w:ind w:firstLine="709"/>
        <w:jc w:val="both"/>
        <w:rPr>
          <w:b/>
          <w:bCs/>
          <w:sz w:val="28"/>
          <w:szCs w:val="28"/>
        </w:rPr>
      </w:pPr>
    </w:p>
    <w:p w:rsidR="00E445B7" w:rsidRPr="00BB7113" w:rsidRDefault="00E445B7" w:rsidP="00F04C3C">
      <w:pPr>
        <w:ind w:firstLine="709"/>
        <w:jc w:val="both"/>
        <w:rPr>
          <w:b/>
          <w:bCs/>
          <w:sz w:val="28"/>
          <w:szCs w:val="28"/>
        </w:rPr>
      </w:pPr>
    </w:p>
    <w:p w:rsidR="00307FE3" w:rsidRPr="00BB7113" w:rsidRDefault="00307FE3" w:rsidP="00F04C3C">
      <w:pPr>
        <w:ind w:firstLine="709"/>
        <w:jc w:val="both"/>
        <w:rPr>
          <w:sz w:val="28"/>
          <w:szCs w:val="28"/>
        </w:rPr>
      </w:pPr>
    </w:p>
    <w:p w:rsidR="00F04C3C" w:rsidRPr="00BB7113" w:rsidRDefault="00F04C3C">
      <w:pPr>
        <w:ind w:firstLine="709"/>
        <w:jc w:val="both"/>
        <w:rPr>
          <w:sz w:val="28"/>
          <w:szCs w:val="28"/>
        </w:rPr>
      </w:pPr>
    </w:p>
    <w:sectPr w:rsidR="00F04C3C" w:rsidRPr="00BB711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452"/>
    <w:multiLevelType w:val="hybridMultilevel"/>
    <w:tmpl w:val="A8EE61BA"/>
    <w:lvl w:ilvl="0" w:tplc="4D0049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7B7A17"/>
    <w:multiLevelType w:val="hybridMultilevel"/>
    <w:tmpl w:val="FA6CCDD0"/>
    <w:lvl w:ilvl="0" w:tplc="2C0E939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9EE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2A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DC4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945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1E88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3BD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036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5F4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776B5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4692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5F77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75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4ED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768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A46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B7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A24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5D6C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5B9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1C22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BC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566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1A8B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72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553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41B"/>
    <w:rsid w:val="00BB68AD"/>
    <w:rsid w:val="00BB6A59"/>
    <w:rsid w:val="00BB6D32"/>
    <w:rsid w:val="00BB7019"/>
    <w:rsid w:val="00BB7113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75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69F4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1F2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6783D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29A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0DA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524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CBF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015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3C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12B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771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651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45F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4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4692"/>
  </w:style>
  <w:style w:type="paragraph" w:styleId="a5">
    <w:name w:val="Balloon Text"/>
    <w:basedOn w:val="a"/>
    <w:link w:val="a6"/>
    <w:uiPriority w:val="99"/>
    <w:semiHidden/>
    <w:unhideWhenUsed/>
    <w:rsid w:val="0049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Владелец</cp:lastModifiedBy>
  <cp:revision>10</cp:revision>
  <cp:lastPrinted>2018-02-02T05:28:00Z</cp:lastPrinted>
  <dcterms:created xsi:type="dcterms:W3CDTF">2018-01-31T06:10:00Z</dcterms:created>
  <dcterms:modified xsi:type="dcterms:W3CDTF">2018-02-02T05:31:00Z</dcterms:modified>
</cp:coreProperties>
</file>