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13.11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2310100078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4"/>
        <w:gridCol w:w="1361"/>
        <w:gridCol w:w="1195"/>
        <w:gridCol w:w="1414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1" w:name="__DdeLink__4700_2580340641"/>
            <w:r>
              <w:rPr>
                <w:rFonts w:ascii="Times New Roman" w:hAnsi="Times New Roman"/>
                <w:sz w:val="21"/>
                <w:szCs w:val="21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с. Ивантеевка, 110м на запад от земельного участка по ул. Фабричная, 2</w:t>
            </w:r>
            <w:r>
              <w:rPr>
                <w:rFonts w:ascii="Times New Roman" w:hAnsi="Times New Roman"/>
                <w:sz w:val="21"/>
                <w:szCs w:val="21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земли населенных пунктов»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 видом разрешенного использования  «Сельскохозяйственное использование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. На земельный участок установлены  ограничения прав, предусмотренные ст. 56ЗК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1"/>
                <w:szCs w:val="21"/>
                <w:lang w:val="ru-RU" w:eastAsia="ru-RU" w:bidi="ar-SA"/>
              </w:rPr>
              <w:t>10лет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1"/>
                <w:szCs w:val="21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 CYR" w:ascii="Times New Roman" w:hAnsi="Times New Roman"/>
                <w:bCs/>
                <w:sz w:val="21"/>
                <w:szCs w:val="21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1"/>
                <w:szCs w:val="21"/>
                <w:lang w:val="ru-RU" w:eastAsia="ru-RU" w:bidi="ar-SA"/>
              </w:rPr>
              <w:t>220104:95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32300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131 835</w:t>
            </w:r>
            <w:bookmarkStart w:id="2" w:name="__DdeLink__3915_4058650024"/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сто тридцать одна тысяча восемьсот тридцать пять</w:t>
            </w:r>
            <w:r>
              <w:rPr>
                <w:rFonts w:ascii="Times New Roman" w:hAnsi="Times New Roman"/>
                <w:sz w:val="21"/>
                <w:szCs w:val="21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00 копеек</w:t>
            </w:r>
            <w:bookmarkEnd w:id="2"/>
          </w:p>
        </w:tc>
        <w:tc>
          <w:tcPr>
            <w:tcW w:w="11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3955,05</w:t>
            </w:r>
          </w:p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1"/>
                <w:szCs w:val="21"/>
                <w:lang w:val="ru-RU" w:eastAsia="ru-RU" w:bidi="ar-SA"/>
              </w:rPr>
              <w:t>(три тысячи девятьсот пятьдесят пять ) рублей 05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копеек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131 835,00</w:t>
            </w:r>
          </w:p>
          <w:p>
            <w:pPr>
              <w:pStyle w:val="Style22"/>
              <w:spacing w:before="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(сто тридцать одна тысяча восемьсот тридцать пять) рублей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 xml:space="preserve">подведения итогов электронного аукциона на право заключения договора аренды земельного участка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13.11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.2023г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3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3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ООО «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АЛЬБАРИКО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»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fals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LibreOffice/6.3.4.2$Windows_x86 LibreOffice_project/60da17e045e08f1793c57c00ba83cdfce946d0aa</Application>
  <Pages>1</Pages>
  <Words>194</Words>
  <Characters>1333</Characters>
  <CharactersWithSpaces>1548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2023-09-05T10:16:01Z</cp:lastPrinted>
  <dcterms:modified xsi:type="dcterms:W3CDTF">2023-11-13T13:55:38Z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