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8.png" ContentType="image/png"/>
  <Override PartName="/word/media/image2.jpeg" ContentType="image/jpeg"/>
  <Override PartName="/word/media/image9.jpeg" ContentType="image/jpe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10.emf" ContentType="image/x-emf"/>
  <Override PartName="/word/media/image11.emf" ContentType="image/x-emf"/>
  <Override PartName="/word/media/image12.emf" ContentType="image/x-emf"/>
  <Override PartName="/word/media/image13.emf" ContentType="image/x-emf"/>
  <Override PartName="/word/media/image14.emf" ContentType="image/x-emf"/>
  <Override PartName="/word/media/image15.emf" ContentType="image/x-emf"/>
  <Override PartName="/word/fontTable.xml" ContentType="application/vnd.openxmlformats-officedocument.wordprocessingml.fontTable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_rels/chart1.xml.rels" ContentType="application/vnd.openxmlformats-package.relationships+xml"/>
  <Override PartName="/word/charts/_rels/chart2.xml.rels" ContentType="application/vnd.openxmlformats-package.relationships+xml"/>
  <Override PartName="/word/charts/_rels/chart3.xml.rels" ContentType="application/vnd.openxmlformats-package.relationships+xml"/>
  <Override PartName="/word/charts/_rels/chart4.xml.rels" ContentType="application/vnd.openxmlformats-package.relationship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_____Microsoft_Office_Excel4.xlsx" ContentType="application/vnd.openxmlformats-officedocument.spreadsheetml.sheet"/>
  <Override PartName="/word/embeddings/_____Microsoft_Office_Excel1.xlsx" ContentType="application/vnd.openxmlformats-officedocument.spreadsheetml.shee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_____Microsoft_Office_Excel3.xlsx" ContentType="application/vnd.openxmlformats-officedocument.spreadsheetml.shee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_____Microsoft_Office_Excel2.xlsx" ContentType="application/vnd.openxmlformats-officedocument.spreadsheetml.sheet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EAF1DD"/>
  <w:body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color w:val="DF680F"/>
          <w:sz w:val="72"/>
          <w:szCs w:val="72"/>
        </w:rPr>
      </w:pPr>
      <w:r>
        <w:rPr>
          <w:rFonts w:ascii="Times New Roman" w:hAnsi="Times New Roman"/>
          <w:b/>
          <w:color w:val="DF680F"/>
          <w:sz w:val="72"/>
          <w:szCs w:val="72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Calibri"/>
          <w:b/>
          <w:b/>
          <w:sz w:val="28"/>
          <w:szCs w:val="28"/>
        </w:rPr>
      </w:pPr>
      <w:r>
        <w:rPr>
          <w:rFonts w:cs="Calibri"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7">
                <wp:simplePos x="0" y="0"/>
                <wp:positionH relativeFrom="column">
                  <wp:posOffset>-652780</wp:posOffset>
                </wp:positionH>
                <wp:positionV relativeFrom="paragraph">
                  <wp:posOffset>67945</wp:posOffset>
                </wp:positionV>
                <wp:extent cx="7075170" cy="1882140"/>
                <wp:effectExtent l="0" t="0" r="41577260" b="4157726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5170" cy="1882140"/>
                        </a:xfrm>
                        <a:prstGeom prst="rect"/>
                        <a:gradFill>
                          <a:gsLst>
                            <a:gs pos="0">
                              <a:srgbClr val="95b3d7"/>
                            </a:gs>
                            <a:gs pos="100000">
                              <a:srgbClr val="dce6f2"/>
                            </a:gs>
                          </a:gsLst>
                          <a:lin ang="5400000"/>
                        </a:gradFill>
                        <a:ln w="635">
                          <a:solidFill>
                            <a:srgbClr val="376092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96"/>
                                <w:szCs w:val="56"/>
                              </w:rPr>
                              <w:t>Бюджет для граждан</w:t>
                            </w:r>
                          </w:p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376092" strokeweight="0pt" fillcolor="#95B3D7" style="position:absolute;rotation:0;width:557.1pt;height:148.2pt;mso-wrap-distance-left:9pt;mso-wrap-distance-right:9pt;mso-wrap-distance-top:0pt;mso-wrap-distance-bottom:0pt;margin-top:5.35pt;mso-position-vertical-relative:text;margin-left:-51.4pt;mso-position-horizontal-relative:text">
                <v:shadow on="t" color="#000000" offset="3273.8pt,3273.8pt"/>
                <v:fill type="gradient" angle="-180" color2="#DCE6F2"/>
                <v:textbox>
                  <w:txbxContent>
                    <w:p>
                      <w:pPr>
                        <w:pStyle w:val="Style20"/>
                        <w:spacing w:lineRule="auto" w:line="24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17365D" w:themeColor="text2" w:themeShade="bf"/>
                          <w:sz w:val="96"/>
                          <w:szCs w:val="5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96"/>
                          <w:szCs w:val="56"/>
                        </w:rPr>
                        <w:t>Бюджет для граждан</w:t>
                      </w:r>
                    </w:p>
                    <w:p>
                      <w:pPr>
                        <w:pStyle w:val="Style20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sz w:val="28"/>
          <w:szCs w:val="28"/>
        </w:rPr>
      </w:r>
      <w:r>
        <mc:AlternateContent>
          <mc:Choice Requires="wps">
            <w:drawing>
              <wp:inline distT="0" distB="0" distL="114300" distR="114300">
                <wp:extent cx="9035415" cy="272415"/>
                <wp:effectExtent l="0" t="0" r="0" b="0"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5415" cy="27241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NormalWeb"/>
                              <w:spacing w:beforeAutospacing="0" w:before="0" w:afterAutospacing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stroked="f" strokeweight="0pt" style="position:absolute;rotation:0;width:711.45pt;height:21.45pt;mso-wrap-distance-left:9pt;mso-wrap-distance-right:9pt;mso-wrap-distance-top:0pt;mso-wrap-distance-bottom:0pt;margin-top:0pt;mso-position-vertical-relative:text;margin-left:0pt;mso-position-horizontal-relative:text">
                <v:textbox>
                  <w:txbxContent>
                    <w:p>
                      <w:pPr>
                        <w:pStyle w:val="NormalWeb"/>
                        <w:spacing w:beforeAutospacing="0" w:before="0" w:afterAutospacing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6">
                <wp:simplePos x="0" y="0"/>
                <wp:positionH relativeFrom="column">
                  <wp:posOffset>-176530</wp:posOffset>
                </wp:positionH>
                <wp:positionV relativeFrom="paragraph">
                  <wp:posOffset>236855</wp:posOffset>
                </wp:positionV>
                <wp:extent cx="6381750" cy="1543050"/>
                <wp:effectExtent l="0" t="0" r="41577260" b="4157726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1543050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jc w:val="center"/>
                              <w:rPr/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к решению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№17 от 03.08.2020</w:t>
                            </w:r>
                            <w:bookmarkStart w:id="0" w:name="_GoBack"/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 xml:space="preserve">   </w:t>
                            </w:r>
                            <w:bookmarkEnd w:id="0"/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32"/>
                                <w:szCs w:val="32"/>
                              </w:rPr>
                              <w:t>«Об утверждении отчета об исполнении бюджета Знаменского муниципального образования за 2019 год»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502.5pt;height:121.5pt;mso-wrap-distance-left:9pt;mso-wrap-distance-right:9pt;mso-wrap-distance-top:0pt;mso-wrap-distance-bottom:0pt;margin-top:18.65pt;mso-position-vertical-relative:text;margin-left:-13.9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jc w:val="center"/>
                        <w:rPr/>
                      </w:pP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к решению 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№17 от 03.08.2020</w:t>
                      </w:r>
                      <w:bookmarkStart w:id="1" w:name="_GoBack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 xml:space="preserve">   </w:t>
                      </w:r>
                      <w:bookmarkEnd w:id="1"/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32"/>
                          <w:szCs w:val="32"/>
                        </w:rPr>
                        <w:t>«Об утверждении отчета об исполнении бюджета Знаменского муниципального образования за 2019 год»</w:t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-41577260" distL="114300" distR="-41462960" simplePos="0" locked="0" layoutInCell="1" allowOverlap="1" relativeHeight="8">
                <wp:simplePos x="0" y="0"/>
                <wp:positionH relativeFrom="column">
                  <wp:posOffset>899795</wp:posOffset>
                </wp:positionH>
                <wp:positionV relativeFrom="paragraph">
                  <wp:posOffset>2689225</wp:posOffset>
                </wp:positionV>
                <wp:extent cx="4124325" cy="3362325"/>
                <wp:effectExtent l="0" t="0" r="41577260" b="4157726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3362325"/>
                        </a:xfrm>
                        <a:prstGeom prst="rect"/>
                        <a:solidFill>
                          <a:srgbClr val="F2DBDB"/>
                        </a:solidFill>
                        <a:ln w="635">
                          <a:solidFill>
                            <a:srgbClr val="365F91"/>
                          </a:solidFill>
                        </a:ln>
                        <a:effectLst>
                          <a:outerShdw dist="58799095" dir="2700000">
                            <a:srgbClr val="000000"/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Style20"/>
                              <w:spacing w:lineRule="auto" w:line="240" w:before="0" w:after="200"/>
                              <w:rPr/>
                            </w:pPr>
                            <w:r>
                              <w:rPr/>
                              <w:drawing>
                                <wp:inline distT="0" distB="0" distL="19050" distR="5715">
                                  <wp:extent cx="3613785" cy="2501265"/>
                                  <wp:effectExtent l="0" t="0" r="0" b="0"/>
                                  <wp:docPr id="5" name="Рисунок 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Рисунок 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3785" cy="250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17365D" w:themeColor="text2" w:themeShade="bf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2DBDB" strokecolor="#365F91" strokeweight="0pt" style="position:absolute;rotation:0;width:324.75pt;height:264.75pt;mso-wrap-distance-left:9pt;mso-wrap-distance-right:9pt;mso-wrap-distance-top:0pt;mso-wrap-distance-bottom:0pt;margin-top:211.75pt;mso-position-vertical-relative:text;margin-left:70.85pt;mso-position-horizontal-relative:text">
                <v:shadow on="t" color="#000000" offset="3273.8pt,3273.8pt"/>
                <v:textbox>
                  <w:txbxContent>
                    <w:p>
                      <w:pPr>
                        <w:pStyle w:val="Style20"/>
                        <w:spacing w:lineRule="auto" w:line="240" w:before="0" w:after="200"/>
                        <w:rPr/>
                      </w:pPr>
                      <w:r>
                        <w:rPr/>
                        <w:drawing>
                          <wp:inline distT="0" distB="0" distL="19050" distR="5715">
                            <wp:extent cx="3613785" cy="2501265"/>
                            <wp:effectExtent l="0" t="0" r="0" b="0"/>
                            <wp:docPr id="6" name="Рисунок 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Рисунок 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3785" cy="2501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/>
                          <w:b/>
                          <w:color w:val="17365D" w:themeColor="text2" w:themeShade="bf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ListParagraph"/>
        <w:spacing w:lineRule="auto" w:line="240" w:before="0" w:after="0"/>
        <w:ind w:left="0" w:firstLine="360"/>
        <w:jc w:val="right"/>
        <w:rPr>
          <w:rFonts w:ascii="Times New Roman" w:hAnsi="Times New Roman"/>
          <w:b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8"/>
        <w:jc w:val="center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Normal"/>
        <w:spacing w:lineRule="auto" w:line="240"/>
        <w:ind w:firstLine="709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Знаменского муниципального образования.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>
      <w:pPr>
        <w:pStyle w:val="Normal"/>
        <w:spacing w:lineRule="auto" w:line="24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 прежде всего для жителей 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Знаменского муниципального образования.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/>
        <w:drawing>
          <wp:inline distT="0" distB="0" distL="19050" distR="0">
            <wp:extent cx="6381750" cy="3105150"/>
            <wp:effectExtent l="0" t="0" r="0" b="0"/>
            <wp:docPr id="7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такое бюджет?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Исполнение бюджета Знаменского муниципального образования за 2019 год </w:t>
      </w:r>
    </w:p>
    <w:p>
      <w:pPr>
        <w:pStyle w:val="Normal"/>
        <w:spacing w:lineRule="auto" w:line="240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031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5636"/>
        <w:gridCol w:w="2125"/>
        <w:gridCol w:w="2270"/>
      </w:tblGrid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3502,0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4210,5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2212,8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2921,3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1289,2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1289,2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4327,7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4322,2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2251,5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2246,0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1576,0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1576,0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207,3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207,3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139,9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139,9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133,0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133,0</w:t>
            </w:r>
          </w:p>
        </w:tc>
      </w:tr>
      <w:tr>
        <w:trPr/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212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-825,7</w:t>
            </w:r>
          </w:p>
        </w:tc>
        <w:tc>
          <w:tcPr>
            <w:tcW w:w="22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-111,7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32"/>
          <w:szCs w:val="32"/>
        </w:rPr>
        <w:t>Зачем нужны бюджеты</w:t>
      </w:r>
      <w:r>
        <w:rPr>
          <w:rFonts w:ascii="Times New Roman" w:hAnsi="Times New Roman"/>
          <w:sz w:val="32"/>
          <w:szCs w:val="32"/>
          <w:lang w:val="en-US"/>
        </w:rPr>
        <w:t>?</w:t>
      </w:r>
    </w:p>
    <w:p>
      <w:pPr>
        <w:pStyle w:val="Normal"/>
        <w:spacing w:lineRule="auto" w:line="24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bCs/>
          <w:color w:val="404040"/>
          <w:sz w:val="32"/>
          <w:szCs w:val="32"/>
        </w:rPr>
      </w:pP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Ос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9"/>
          <w:position w:val="0"/>
          <w:sz w:val="32"/>
          <w:szCs w:val="32"/>
        </w:rPr>
        <w:t>о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в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н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ы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7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spacing w:val="-4"/>
          <w:position w:val="0"/>
          <w:sz w:val="32"/>
          <w:szCs w:val="32"/>
        </w:rPr>
        <w:t>х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ар</w:t>
      </w:r>
      <w:r>
        <w:rPr>
          <w:rFonts w:ascii="Times New Roman" w:hAnsi="Times New Roman"/>
          <w:b/>
          <w:bCs/>
          <w:color w:val="404040"/>
          <w:spacing w:val="2"/>
          <w:position w:val="0"/>
          <w:sz w:val="32"/>
          <w:szCs w:val="32"/>
        </w:rPr>
        <w:t>а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ер</w:t>
      </w:r>
      <w:r>
        <w:rPr>
          <w:rFonts w:ascii="Times New Roman" w:hAnsi="Times New Roman"/>
          <w:b/>
          <w:bCs/>
          <w:color w:val="404040"/>
          <w:spacing w:val="-1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с</w:t>
      </w:r>
      <w:r>
        <w:rPr>
          <w:rFonts w:ascii="Times New Roman" w:hAnsi="Times New Roman"/>
          <w:b/>
          <w:bCs/>
          <w:color w:val="404040"/>
          <w:spacing w:val="-3"/>
          <w:position w:val="0"/>
          <w:sz w:val="32"/>
          <w:szCs w:val="32"/>
        </w:rPr>
        <w:t>т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к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и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 xml:space="preserve"> 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б</w:t>
      </w:r>
      <w:r>
        <w:rPr>
          <w:rFonts w:ascii="Times New Roman" w:hAnsi="Times New Roman"/>
          <w:b/>
          <w:bCs/>
          <w:color w:val="404040"/>
          <w:spacing w:val="-22"/>
          <w:position w:val="0"/>
          <w:sz w:val="32"/>
          <w:szCs w:val="32"/>
        </w:rPr>
        <w:t>ю</w:t>
      </w:r>
      <w:r>
        <w:rPr>
          <w:rFonts w:ascii="Times New Roman" w:hAnsi="Times New Roman"/>
          <w:b/>
          <w:bCs/>
          <w:color w:val="404040"/>
          <w:spacing w:val="-2"/>
          <w:position w:val="0"/>
          <w:sz w:val="32"/>
          <w:szCs w:val="32"/>
        </w:rPr>
        <w:t>д</w:t>
      </w:r>
      <w:r>
        <w:rPr>
          <w:rFonts w:ascii="Times New Roman" w:hAnsi="Times New Roman"/>
          <w:b/>
          <w:bCs/>
          <w:color w:val="404040"/>
          <w:spacing w:val="-5"/>
          <w:position w:val="0"/>
          <w:sz w:val="32"/>
          <w:szCs w:val="32"/>
        </w:rPr>
        <w:t>ж</w:t>
      </w:r>
      <w:r>
        <w:rPr>
          <w:rFonts w:ascii="Times New Roman" w:hAnsi="Times New Roman"/>
          <w:b/>
          <w:bCs/>
          <w:color w:val="404040"/>
          <w:position w:val="0"/>
          <w:sz w:val="32"/>
          <w:szCs w:val="32"/>
        </w:rPr>
        <w:t>е</w:t>
      </w:r>
      <w:r>
        <w:rPr>
          <w:rFonts w:ascii="Times New Roman" w:hAnsi="Times New Roman"/>
          <w:b/>
          <w:bCs/>
          <w:color w:val="404040"/>
          <w:spacing w:val="-8"/>
          <w:position w:val="0"/>
          <w:sz w:val="32"/>
          <w:szCs w:val="32"/>
        </w:rPr>
        <w:t>та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/>
        <w:drawing>
          <wp:inline distT="0" distB="0" distL="19050" distR="0">
            <wp:extent cx="6248400" cy="4171950"/>
            <wp:effectExtent l="0" t="0" r="0" b="0"/>
            <wp:docPr id="8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Дефицит и профицит</w:t>
      </w:r>
    </w:p>
    <w:p>
      <w:pPr>
        <w:pStyle w:val="Normal"/>
        <w:spacing w:lineRule="auto" w:line="240"/>
        <w:jc w:val="both"/>
        <w:rPr>
          <w:rFonts w:ascii="Times New Roman" w:hAnsi="Times New Roman"/>
          <w:sz w:val="28"/>
          <w:szCs w:val="28"/>
          <w:lang w:val="en-US"/>
        </w:rPr>
      </w:pPr>
      <w:r>
        <w:rPr/>
        <w:drawing>
          <wp:inline distT="0" distB="0" distL="19050" distR="9525">
            <wp:extent cx="6296025" cy="3686175"/>
            <wp:effectExtent l="0" t="0" r="0" b="0"/>
            <wp:docPr id="9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val="en-US" w:eastAsia="ru-RU"/>
        </w:rPr>
      </w:pPr>
      <w:r>
        <w:rPr>
          <w:rFonts w:ascii="Times New Roman" w:hAnsi="Times New Roman"/>
          <w:b/>
          <w:sz w:val="32"/>
          <w:szCs w:val="32"/>
          <w:highlight w:val="yellow"/>
          <w:lang w:val="en-US" w:eastAsia="ru-RU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Доходы бюджета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eastAsia="ru-RU"/>
        </w:rPr>
      </w:pPr>
      <w:r>
        <w:rPr/>
        <w:drawing>
          <wp:inline distT="0" distB="0" distL="19050" distR="9525">
            <wp:extent cx="6296025" cy="2981325"/>
            <wp:effectExtent l="0" t="0" r="0" b="0"/>
            <wp:docPr id="10" name="Рисунок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8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Межбюджетные трансферты - основной вид безвозмездных перечислений</w:t>
      </w:r>
    </w:p>
    <w:p>
      <w:pPr>
        <w:pStyle w:val="Normal"/>
        <w:spacing w:lineRule="auto" w:line="240"/>
        <w:jc w:val="both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9525">
            <wp:extent cx="6296025" cy="4162425"/>
            <wp:effectExtent l="0" t="0" r="0" b="0"/>
            <wp:docPr id="1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  <w:lang w:val="en-US"/>
        </w:rPr>
      </w:pPr>
      <w:r>
        <w:rPr>
          <w:rFonts w:ascii="Times New Roman" w:hAnsi="Times New Roman"/>
          <w:b/>
          <w:sz w:val="32"/>
          <w:szCs w:val="32"/>
          <w:highlight w:val="yellow"/>
          <w:lang w:val="en-US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/>
        <w:drawing>
          <wp:inline distT="0" distB="0" distL="19050" distR="9525">
            <wp:extent cx="6257925" cy="4457700"/>
            <wp:effectExtent l="0" t="0" r="0" b="0"/>
            <wp:docPr id="12" name="Изображение2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2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Налоги, зачисляемые в бюджет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</w:r>
    </w:p>
    <w:tbl>
      <w:tblPr>
        <w:tblW w:w="9889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190"/>
        <w:gridCol w:w="3190"/>
        <w:gridCol w:w="3509"/>
      </w:tblGrid>
      <w:tr>
        <w:trPr/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5050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99FF33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5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66CCFF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b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>
        <w:trPr>
          <w:trHeight w:val="2153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widowControl w:val="false"/>
              <w:rPr>
                <w:rFonts w:ascii="Times New Roman" w:hAnsi="Times New Roman" w:eastAsia="Calibri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3 %                                    100 %                                      100 %</w:t>
            </w:r>
          </w:p>
          <w:p>
            <w:pPr>
              <w:pStyle w:val="Normal"/>
              <w:widowControl w:val="false"/>
              <w:rPr>
                <w:rFonts w:ascii="Arial" w:hAnsi="Arial" w:cs="Calibri"/>
              </w:rPr>
            </w:pPr>
            <w:r>
              <w:rPr>
                <w:rFonts w:cs="Calibri" w:ascii="Arial" w:hAnsi="Arial"/>
              </w:rPr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3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1270</wp:posOffset>
                      </wp:positionV>
                      <wp:extent cx="876300" cy="823595"/>
                      <wp:effectExtent l="0" t="0" r="17145" b="17145"/>
                      <wp:wrapNone/>
                      <wp:docPr id="13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823595"/>
                              </a:xfrm>
                              <a:prstGeom prst="rect"/>
                              <a:solidFill>
                                <a:srgbClr val="FF5050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5050" strokecolor="#4F81BD" strokeweight="1pt" style="position:absolute;rotation:0;width:69pt;height:64.85pt;mso-wrap-distance-left:9pt;mso-wrap-distance-right:9pt;mso-wrap-distance-top:0pt;mso-wrap-distance-bottom:0pt;margin-top:0.1pt;mso-position-vertical-relative:text;margin-left:42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4">
                      <wp:simplePos x="0" y="0"/>
                      <wp:positionH relativeFrom="column">
                        <wp:posOffset>4692015</wp:posOffset>
                      </wp:positionH>
                      <wp:positionV relativeFrom="paragraph">
                        <wp:posOffset>2540</wp:posOffset>
                      </wp:positionV>
                      <wp:extent cx="809625" cy="824230"/>
                      <wp:effectExtent l="0" t="0" r="17145" b="17145"/>
                      <wp:wrapNone/>
                      <wp:docPr id="14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824230"/>
                              </a:xfrm>
                              <a:prstGeom prst="rect"/>
                              <a:solidFill>
                                <a:srgbClr val="66CCFF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66CCFF" strokecolor="#4F81BD" strokeweight="1pt" style="position:absolute;rotation:0;width:63.75pt;height:64.9pt;mso-wrap-distance-left:9pt;mso-wrap-distance-right:9pt;mso-wrap-distance-top:0pt;mso-wrap-distance-bottom:0pt;margin-top:0.2pt;mso-position-vertical-relative:text;margin-left:369.4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behindDoc="0" distT="0" distB="-17145" distL="114300" distR="97155" simplePos="0" locked="0" layoutInCell="1" allowOverlap="1" relativeHeight="5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2540</wp:posOffset>
                      </wp:positionV>
                      <wp:extent cx="828675" cy="823595"/>
                      <wp:effectExtent l="0" t="0" r="17145" b="17145"/>
                      <wp:wrapNone/>
                      <wp:docPr id="15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28675" cy="823595"/>
                              </a:xfrm>
                              <a:prstGeom prst="rect"/>
                              <a:solidFill>
                                <a:srgbClr val="99FF33"/>
                              </a:solidFill>
                              <a:ln w="12700">
                                <a:solidFill>
                                  <a:srgbClr val="4F81BD"/>
                                </a:solidFill>
                              </a:ln>
                              <a:effectLst>
                                <a:outerShdw dist="24130" dir="2700000">
                                  <a:srgbClr val="243F60"/>
                                </a:outerShdw>
                              </a:effectLst>
                            </wps:spPr>
                            <wps:txbx>
                              <w:txbxContent>
                                <w:p>
                                  <w:pPr>
                                    <w:pStyle w:val="Style20"/>
                                    <w:spacing w:before="0" w:after="200"/>
                                    <w:rPr/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99FF33" strokecolor="#4F81BD" strokeweight="1pt" style="position:absolute;rotation:0;width:65.25pt;height:64.85pt;mso-wrap-distance-left:9pt;mso-wrap-distance-right:9pt;mso-wrap-distance-top:0pt;mso-wrap-distance-bottom:0pt;margin-top:0.2pt;mso-position-vertical-relative:text;margin-left:196.85pt;mso-position-horizontal-relative:text">
                      <v:shadow on="t" color="#243F60" offset="1.35pt,1.35pt"/>
                      <v:textbox>
                        <w:txbxContent>
                          <w:p>
                            <w:pPr>
                              <w:pStyle w:val="Style20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Normal"/>
              <w:widowControl w:val="false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Arial" w:hAnsi="Arial" w:cs="Calibri"/>
              </w:rPr>
            </w:pPr>
            <w:r>
              <w:rPr>
                <w:rFonts w:cs="Calibri" w:ascii="Arial" w:hAnsi="Arial"/>
              </w:rPr>
            </w:r>
          </w:p>
        </w:tc>
      </w:tr>
      <w:tr>
        <w:trPr>
          <w:trHeight w:val="419" w:hRule="atLeast"/>
        </w:trPr>
        <w:tc>
          <w:tcPr>
            <w:tcW w:w="988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8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Calibri"/>
                <w:b/>
                <w:b/>
                <w:sz w:val="24"/>
                <w:szCs w:val="24"/>
              </w:rPr>
            </w:pPr>
            <w:r>
              <w:rPr>
                <w:rFonts w:eastAsia="Calibri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0"/>
              <w:jc w:val="center"/>
              <w:rPr>
                <w:rFonts w:ascii="Arial" w:hAnsi="Arial" w:cs="Calibri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sz w:val="32"/>
          <w:szCs w:val="32"/>
          <w:highlight w:val="yellow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Структура доходов бюджета Знаменского муниципального образования </w:t>
      </w:r>
    </w:p>
    <w:p>
      <w:pPr>
        <w:pStyle w:val="Normal"/>
        <w:tabs>
          <w:tab w:val="left" w:pos="4020" w:leader="none"/>
          <w:tab w:val="center" w:pos="4677" w:leader="none"/>
        </w:tabs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9796" w:type="dxa"/>
        <w:jc w:val="left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5968"/>
        <w:gridCol w:w="1984"/>
        <w:gridCol w:w="1844"/>
      </w:tblGrid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 2019 года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 2019 года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2209,8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2918,3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доходы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841,9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1047,7</w:t>
            </w:r>
          </w:p>
        </w:tc>
      </w:tr>
      <w:tr>
        <w:trPr>
          <w:trHeight w:val="335" w:hRule="exac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before="0" w:after="20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182,3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276,1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1180,1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1589,0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штрафы, санкции и возмещение ущерба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всего:</w:t>
            </w:r>
          </w:p>
        </w:tc>
        <w:tc>
          <w:tcPr>
            <w:tcW w:w="198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1289,2</w:t>
            </w:r>
          </w:p>
        </w:tc>
        <w:tc>
          <w:tcPr>
            <w:tcW w:w="1844" w:type="dxa"/>
            <w:tcBorders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1289,2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98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75,1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75,1</w:t>
            </w:r>
          </w:p>
        </w:tc>
      </w:tr>
      <w:tr>
        <w:trPr>
          <w:trHeight w:val="322" w:hRule="atLeast"/>
        </w:trPr>
        <w:tc>
          <w:tcPr>
            <w:tcW w:w="5968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 бюджетам бюджетной системы Российской Федерации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666,9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666,9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bottom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 бюджетам субъектов Российской Федерации и муниципальных образований.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207,3</w:t>
            </w:r>
          </w:p>
        </w:tc>
        <w:tc>
          <w:tcPr>
            <w:tcW w:w="18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1"/>
              <w:right w:val="single" w:sz="4" w:space="0" w:color="00000A"/>
              <w:insideH w:val="single" w:sz="4" w:space="0" w:color="000001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207,3</w:t>
            </w:r>
          </w:p>
        </w:tc>
      </w:tr>
      <w:tr>
        <w:trPr>
          <w:trHeight w:val="322" w:hRule="atLeast"/>
        </w:trPr>
        <w:tc>
          <w:tcPr>
            <w:tcW w:w="5968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98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  <w:tc>
          <w:tcPr>
            <w:tcW w:w="1844" w:type="dxa"/>
            <w:vMerge w:val="continue"/>
            <w:tcBorders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  <w:vAlign w:val="center"/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иные межбюджетные трансферты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139,9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139,9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</w:tr>
      <w:tr>
        <w:trPr>
          <w:trHeight w:val="240" w:hRule="atLeast"/>
        </w:trPr>
        <w:tc>
          <w:tcPr>
            <w:tcW w:w="5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3502,0</w:t>
            </w:r>
          </w:p>
        </w:tc>
        <w:tc>
          <w:tcPr>
            <w:tcW w:w="18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4210,5</w:t>
            </w:r>
          </w:p>
        </w:tc>
      </w:tr>
    </w:tbl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в 2019 году составили –  4210,5 тыс. руб.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210300" cy="1600200"/>
            <wp:effectExtent l="0" t="0" r="0" b="0"/>
            <wp:docPr id="16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 xml:space="preserve">Доходы бюджета Знаменского муниципального образования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расчете на 1 жителя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численность населения Знаменского муниципального образования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на 01.01.19г. 1565 человек)                  </w:t>
      </w:r>
    </w:p>
    <w:tbl>
      <w:tblPr>
        <w:tblStyle w:val="a6"/>
        <w:tblW w:w="9355" w:type="dxa"/>
        <w:jc w:val="left"/>
        <w:tblInd w:w="392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6519"/>
        <w:gridCol w:w="2835"/>
      </w:tblGrid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2835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sz w:val="28"/>
                <w:szCs w:val="28"/>
              </w:rPr>
              <w:t>2019 год отчет (руб.)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b/>
                <w:bCs/>
                <w:sz w:val="28"/>
                <w:szCs w:val="28"/>
              </w:rPr>
              <w:t>Доходы всего, в том числе :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2690,0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налоговые и неналоговые доходы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1866,0</w:t>
            </w:r>
          </w:p>
        </w:tc>
      </w:tr>
      <w:tr>
        <w:trPr/>
        <w:tc>
          <w:tcPr>
            <w:tcW w:w="6519" w:type="dxa"/>
            <w:tcBorders/>
            <w:shd w:color="auto" w:fill="CFDEB0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2835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eastAsia="Calibri" w:cs="Calibri" w:ascii="Times New Roman" w:hAnsi="Times New Roman"/>
                <w:sz w:val="28"/>
                <w:szCs w:val="28"/>
              </w:rPr>
              <w:t>824,0</w:t>
            </w:r>
          </w:p>
        </w:tc>
      </w:tr>
    </w:tbl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 земельный налог,  налог на доходы физических лиц и налог на имущество физических лиц.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>
        <w:rPr>
          <w:rFonts w:ascii="Times New Roman" w:hAnsi="Times New Roman"/>
          <w:b/>
          <w:sz w:val="32"/>
          <w:szCs w:val="32"/>
        </w:rPr>
        <w:t>РАСХОДЫ.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248400" cy="2286000"/>
            <wp:effectExtent l="0" t="0" r="0" b="0"/>
            <wp:docPr id="1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19050" distR="0">
            <wp:extent cx="6191250" cy="3228975"/>
            <wp:effectExtent l="0" t="0" r="0" b="0"/>
            <wp:docPr id="18" name="Изображение4" descr="https://www.tula.ru/activity/economics/city-budget/2016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4" descr="https://www.tula.ru/activity/economics/city-budget/2016/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2" t="5629" r="3412" b="1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Знаменского муниципального образования по разделам за 2019 год.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  <w:tab/>
        <w:tab/>
        <w:tab/>
        <w:tab/>
        <w:tab/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ab/>
        <w:tab/>
        <w:t>%</w:t>
      </w:r>
    </w:p>
    <w:tbl>
      <w:tblPr>
        <w:tblW w:w="9855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063"/>
        <w:gridCol w:w="4764"/>
        <w:gridCol w:w="1985"/>
        <w:gridCol w:w="2042"/>
      </w:tblGrid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52,0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52,0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  <w:tr>
        <w:trPr/>
        <w:tc>
          <w:tcPr>
            <w:tcW w:w="10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476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04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>
      <w:pPr>
        <w:pStyle w:val="Normal"/>
        <w:spacing w:lineRule="auto" w:line="240"/>
        <w:jc w:val="center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  <w:lang w:val="en-US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  <w:lang w:val="en-US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расходов.</w:t>
      </w:r>
    </w:p>
    <w:p>
      <w:pPr>
        <w:pStyle w:val="Normal"/>
        <w:spacing w:lineRule="auto" w:line="240"/>
        <w:jc w:val="center"/>
        <w:rPr>
          <w:rFonts w:ascii="Times New Roman" w:hAnsi="Times New Roman"/>
          <w:b/>
          <w:b/>
          <w:sz w:val="32"/>
          <w:szCs w:val="32"/>
        </w:rPr>
      </w:pPr>
      <w:r>
        <w:rPr/>
        <w:drawing>
          <wp:inline distT="0" distB="0" distL="0" distR="0">
            <wp:extent cx="6410325" cy="2714625"/>
            <wp:effectExtent l="0" t="0" r="0" b="0"/>
            <wp:docPr id="19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>
      <w:pPr>
        <w:pStyle w:val="Normal"/>
        <w:spacing w:lineRule="auto" w:line="240"/>
        <w:jc w:val="right"/>
        <w:rPr>
          <w:rFonts w:ascii="Times New Roman" w:hAnsi="Times New Roman"/>
          <w:b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Расходы бюджета Знаменского муниципального образования по основным разделам на душу населения</w:t>
        <w:tab/>
        <w:tab/>
      </w:r>
    </w:p>
    <w:p>
      <w:pPr>
        <w:pStyle w:val="Normal"/>
        <w:spacing w:lineRule="auto" w:line="2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tbl>
      <w:tblPr>
        <w:tblW w:w="10137" w:type="dxa"/>
        <w:jc w:val="left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0a0"/>
      </w:tblPr>
      <w:tblGrid>
        <w:gridCol w:w="1100"/>
        <w:gridCol w:w="5244"/>
        <w:gridCol w:w="2127"/>
        <w:gridCol w:w="1665"/>
      </w:tblGrid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2019 года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1049,21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1045,69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132,46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132,46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12,78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12,78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1007,02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1007,02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3,19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3,19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116,31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116,31</w:t>
            </w:r>
          </w:p>
        </w:tc>
      </w:tr>
      <w:tr>
        <w:trPr/>
        <w:tc>
          <w:tcPr>
            <w:tcW w:w="11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52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2765,33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2761,81</w:t>
            </w:r>
          </w:p>
        </w:tc>
      </w:tr>
    </w:tbl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/>
        <w:ind w:left="6372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руб.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495925" cy="2362200"/>
            <wp:effectExtent l="0" t="0" r="0" b="0"/>
            <wp:docPr id="20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sz w:val="28"/>
          <w:szCs w:val="28"/>
        </w:rPr>
        <w:tab/>
        <w:tab/>
        <w:tab/>
        <w:tab/>
        <w:tab/>
        <w:tab/>
        <w:tab/>
        <w:tab/>
        <w:tab/>
        <w:t xml:space="preserve">                               </w:t>
      </w:r>
    </w:p>
    <w:p>
      <w:pPr>
        <w:pStyle w:val="Normal"/>
        <w:spacing w:lineRule="auto" w:line="240"/>
        <w:jc w:val="center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тыс. руб.</w:t>
      </w:r>
    </w:p>
    <w:tbl>
      <w:tblPr>
        <w:tblW w:w="10349" w:type="dxa"/>
        <w:jc w:val="left"/>
        <w:tblInd w:w="-31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8" w:type="dxa"/>
          <w:bottom w:w="0" w:type="dxa"/>
          <w:right w:w="108" w:type="dxa"/>
        </w:tblCellMar>
        <w:tblLook w:val="01e0"/>
      </w:tblPr>
      <w:tblGrid>
        <w:gridCol w:w="5813"/>
        <w:gridCol w:w="1701"/>
        <w:gridCol w:w="1417"/>
        <w:gridCol w:w="1417"/>
      </w:tblGrid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План 2019 года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Факт 2019года</w:t>
            </w:r>
          </w:p>
        </w:tc>
      </w:tr>
      <w:tr>
        <w:trPr>
          <w:trHeight w:val="1046" w:hRule="atLeast"/>
        </w:trPr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4" style="width:52.5pt;height:39pt" o:ole="">
                  <v:imagedata r:id="rId15" o:title=""/>
                </v:shape>
                <o:OLEObject Type="Embed" ProgID="PBrush" ShapeID="ole_rId14" DrawAspect="Content" ObjectID="_408728142" r:id="rId14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2251,5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2246,0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6" style="width:51pt;height:41.25pt" o:ole="">
                  <v:imagedata r:id="rId17" o:title=""/>
                </v:shape>
                <o:OLEObject Type="Embed" ProgID="PBrush" ShapeID="ole_rId16" DrawAspect="Content" ObjectID="_2076982515" r:id="rId16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207,3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207,3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18" style="width:48pt;height:42.75pt" o:ole="">
                  <v:imagedata r:id="rId19" o:title=""/>
                </v:shape>
                <o:OLEObject Type="Embed" ProgID="PBrush" ShapeID="ole_rId18" DrawAspect="Content" ObjectID="_734270768" r:id="rId18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139,9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139,9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0" style="width:45pt;height:42pt" o:ole="">
                  <v:imagedata r:id="rId21" o:title=""/>
                </v:shape>
                <o:OLEObject Type="Embed" ProgID="PBrush" ShapeID="ole_rId20" DrawAspect="Content" ObjectID="_866849001" r:id="rId20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1576,0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1576,0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2" style="width:45.75pt;height:36.75pt" o:ole="">
                  <v:imagedata r:id="rId23" o:title=""/>
                </v:shape>
                <o:OLEObject Type="Embed" ProgID="PBrush" ShapeID="ole_rId22" DrawAspect="Content" ObjectID="_1815722545" r:id="rId22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center"/>
              <w:rPr>
                <w:sz w:val="26"/>
                <w:szCs w:val="26"/>
              </w:rPr>
            </w:pPr>
            <w:r>
              <w:rPr/>
              <w:object>
                <v:shape id="ole_rId24" style="width:45pt;height:36.75pt" o:ole="">
                  <v:imagedata r:id="rId25" o:title=""/>
                </v:shape>
                <o:OLEObject Type="Embed" ProgID="PBrush" ShapeID="ole_rId24" DrawAspect="Content" ObjectID="_600891961" r:id="rId24"/>
              </w:objec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128,0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  <w:vAlign w:val="bottom"/>
          </w:tcPr>
          <w:p>
            <w:pPr>
              <w:pStyle w:val="Normal"/>
              <w:spacing w:lineRule="auto" w:line="240" w:before="0" w:after="200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128,0</w:t>
            </w:r>
          </w:p>
        </w:tc>
      </w:tr>
      <w:tr>
        <w:trPr/>
        <w:tc>
          <w:tcPr>
            <w:tcW w:w="581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D6E3BC" w:themeFill="accent3" w:themeFillTint="66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rPr>
                <w:rFonts w:ascii="Times New Roman" w:hAnsi="Times New Roman"/>
                <w:b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200"/>
              <w:jc w:val="right"/>
              <w:rPr>
                <w:b/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4327,7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right"/>
              <w:rPr>
                <w:rFonts w:ascii="Times New Roman" w:hAnsi="Times New Roman"/>
                <w:b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4322,2</w:t>
            </w:r>
          </w:p>
        </w:tc>
      </w:tr>
    </w:tbl>
    <w:p>
      <w:pPr>
        <w:pStyle w:val="NormalWeb"/>
        <w:spacing w:beforeAutospacing="0" w:before="0" w:after="200"/>
        <w:rPr>
          <w:sz w:val="28"/>
          <w:szCs w:val="28"/>
        </w:rPr>
      </w:pPr>
      <w:r>
        <w:rPr/>
        <w:drawing>
          <wp:inline distT="0" distB="0" distL="0" distR="0">
            <wp:extent cx="45720" cy="47625"/>
            <wp:effectExtent l="0" t="0" r="0" b="0"/>
            <wp:docPr id="21" name="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>
        <w:rPr>
          <w:sz w:val="28"/>
          <w:szCs w:val="28"/>
        </w:rPr>
        <w:t>Контактная информация:</w:t>
      </w:r>
    </w:p>
    <w:p>
      <w:pPr>
        <w:pStyle w:val="Normal"/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Адрес:  Саратовская область, Ивантеевский район,  пос. Знаменка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>График работы с 8-00 до 16-12, перерыв с 12-00 до 13-00.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>
        <w:rPr>
          <w:rFonts w:ascii="Times New Roman" w:hAnsi="Times New Roman"/>
          <w:sz w:val="28"/>
          <w:szCs w:val="28"/>
        </w:rPr>
        <w:t xml:space="preserve">Телефоны  (8 84579 5-61-21)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Тел.5-61-21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</w:t>
      </w:r>
      <w:r>
        <w:rPr>
          <w:rFonts w:ascii="Times New Roman" w:hAnsi="Times New Roman"/>
          <w:color w:val="000000"/>
          <w:sz w:val="28"/>
          <w:szCs w:val="28"/>
        </w:rPr>
        <w:t xml:space="preserve">Глава Знаменского муниципального образования     Уколова И.Н.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>
      <w:pPr>
        <w:pStyle w:val="Normal"/>
        <w:widowControl w:val="false"/>
        <w:tabs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spacing w:lineRule="auto" w:line="240" w:before="0" w:after="0"/>
        <w:rPr/>
      </w:pPr>
      <w:r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>
        <w:rPr>
          <w:rFonts w:ascii="Times New Roman" w:hAnsi="Times New Roman"/>
          <w:sz w:val="28"/>
          <w:szCs w:val="28"/>
          <w:u w:val="single"/>
        </w:rPr>
        <w:t>admznam@mail.ru</w:t>
      </w:r>
    </w:p>
    <w:sectPr>
      <w:type w:val="nextPage"/>
      <w:pgSz w:w="11906" w:h="16838"/>
      <w:pgMar w:left="1418" w:right="567" w:header="0" w:top="284" w:footer="0" w:bottom="28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c1dd2"/>
    <w:pPr>
      <w:widowControl/>
      <w:bidi w:val="0"/>
      <w:spacing w:lineRule="auto" w:line="276" w:before="0" w:after="200"/>
      <w:jc w:val="left"/>
    </w:pPr>
    <w:rPr>
      <w:rFonts w:ascii="Calibri" w:hAnsi="Calibri" w:eastAsia="Times New Roman" w:cs="Times New Roman"/>
      <w:color w:val="auto"/>
      <w:sz w:val="22"/>
      <w:szCs w:val="22"/>
      <w:lang w:eastAsia="en-US" w:val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4308b1"/>
    <w:rPr>
      <w:rFonts w:ascii="Tahoma" w:hAnsi="Tahoma" w:cs="Tahoma"/>
      <w:sz w:val="16"/>
      <w:szCs w:val="16"/>
      <w:lang w:eastAsia="en-US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nhideWhenUsed/>
    <w:qFormat/>
    <w:rsid w:val="00bb1507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ru-RU"/>
    </w:rPr>
  </w:style>
  <w:style w:type="paragraph" w:styleId="Default" w:customStyle="1">
    <w:name w:val="Default"/>
    <w:qFormat/>
    <w:rsid w:val="000f7237"/>
    <w:pPr>
      <w:widowControl/>
      <w:bidi w:val="0"/>
      <w:jc w:val="left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4308b1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35c"/>
    <w:pPr>
      <w:spacing w:before="0" w:after="200"/>
      <w:ind w:left="720" w:hanging="0"/>
      <w:contextualSpacing/>
    </w:pPr>
    <w:rPr>
      <w:rFonts w:eastAsia="Calibri"/>
    </w:rPr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99"/>
    <w:rsid w:val="0036732b"/>
    <w:rPr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chart" Target="charts/chart1.xml"/><Relationship Id="rId10" Type="http://schemas.openxmlformats.org/officeDocument/2006/relationships/image" Target="media/image8.png"/><Relationship Id="rId11" Type="http://schemas.openxmlformats.org/officeDocument/2006/relationships/image" Target="media/image9.jpeg"/><Relationship Id="rId12" Type="http://schemas.openxmlformats.org/officeDocument/2006/relationships/chart" Target="charts/chart2.xml"/><Relationship Id="rId13" Type="http://schemas.openxmlformats.org/officeDocument/2006/relationships/chart" Target="charts/chart3.xml"/><Relationship Id="rId14" Type="http://schemas.openxmlformats.org/officeDocument/2006/relationships/oleObject" Target="embeddings/oleObject1.bin"/><Relationship Id="rId15" Type="http://schemas.openxmlformats.org/officeDocument/2006/relationships/image" Target="media/image10.emf"/><Relationship Id="rId16" Type="http://schemas.openxmlformats.org/officeDocument/2006/relationships/oleObject" Target="embeddings/oleObject2.bin"/><Relationship Id="rId17" Type="http://schemas.openxmlformats.org/officeDocument/2006/relationships/image" Target="media/image11.emf"/><Relationship Id="rId18" Type="http://schemas.openxmlformats.org/officeDocument/2006/relationships/oleObject" Target="embeddings/oleObject3.bin"/><Relationship Id="rId19" Type="http://schemas.openxmlformats.org/officeDocument/2006/relationships/image" Target="media/image12.emf"/><Relationship Id="rId20" Type="http://schemas.openxmlformats.org/officeDocument/2006/relationships/oleObject" Target="embeddings/oleObject4.bin"/><Relationship Id="rId21" Type="http://schemas.openxmlformats.org/officeDocument/2006/relationships/image" Target="media/image13.emf"/><Relationship Id="rId22" Type="http://schemas.openxmlformats.org/officeDocument/2006/relationships/oleObject" Target="embeddings/oleObject5.bin"/><Relationship Id="rId23" Type="http://schemas.openxmlformats.org/officeDocument/2006/relationships/image" Target="media/image14.emf"/><Relationship Id="rId24" Type="http://schemas.openxmlformats.org/officeDocument/2006/relationships/oleObject" Target="embeddings/oleObject6.bin"/><Relationship Id="rId25" Type="http://schemas.openxmlformats.org/officeDocument/2006/relationships/image" Target="media/image15.emf"/><Relationship Id="rId26" Type="http://schemas.openxmlformats.org/officeDocument/2006/relationships/chart" Target="charts/chart4.xml"/><Relationship Id="rId27" Type="http://schemas.openxmlformats.org/officeDocument/2006/relationships/fontTable" Target="fontTable.xml"/><Relationship Id="rId28" Type="http://schemas.openxmlformats.org/officeDocument/2006/relationships/settings" Target="settings.xml"/><Relationship Id="rId29" Type="http://schemas.openxmlformats.org/officeDocument/2006/relationships/theme" Target="theme/theme1.xml"/><Relationship Id="rId30" Type="http://schemas.openxmlformats.org/officeDocument/2006/relationships/customXml" Target="../customXml/item1.xml"/>
</Relationships>
</file>

<file path=word/charts/_rels/chart1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1.xlsx"/>
</Relationships>
</file>

<file path=word/charts/_rels/chart2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2.xlsx"/>
</Relationships>
</file>

<file path=word/charts/_rels/chart3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3.xlsx"/>
</Relationships>
</file>

<file path=word/charts/_rels/chart4.xml.rels><?xml version="1.0" encoding="UTF-8"?>
<Relationships xmlns="http://schemas.openxmlformats.org/package/2006/relationships"><Relationship Id="rId1" Type="http://schemas.openxmlformats.org/officeDocument/2006/relationships/package" Target="../embeddings/_____Microsoft_Office_Excel4.xlsx"/>
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0"/>
      <c:rAngAx val="0"/>
      <c:perspective val="30"/>
    </c:view3D>
    <c:floor>
      <c:spPr>
        <a:solidFill>
          <a:srgbClr val="d9d9d9"/>
        </a:solidFill>
        <a:ln>
          <a:noFill/>
        </a:ln>
      </c:spPr>
    </c:floor>
    <c:backWall>
      <c:spPr>
        <a:solidFill>
          <a:srgbClr val="d9d9d9"/>
        </a:solidFill>
        <a:ln>
          <a:noFill/>
        </a:ln>
      </c:spPr>
    </c:backWall>
    <c:plotArea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Доходы 2019г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</c:spPr>
          <c:explosion val="25"/>
          <c:dPt>
            <c:idx val="0"/>
            <c:spPr>
              <a:solidFill>
                <a:srgbClr val="4f81bd"/>
              </a:solidFill>
              <a:ln>
                <a:noFill/>
              </a:ln>
            </c:spPr>
          </c:dPt>
          <c:dPt>
            <c:idx val="1"/>
            <c:spPr>
              <a:solidFill>
                <a:srgbClr val="c0504d"/>
              </a:solidFill>
              <a:ln>
                <a:noFill/>
              </a:ln>
            </c:spPr>
          </c:dPt>
          <c:dPt>
            <c:idx val="2"/>
            <c:spPr>
              <a:solidFill>
                <a:srgbClr val="9bbb59"/>
              </a:solidFill>
              <a:ln>
                <a:noFill/>
              </a:ln>
            </c:spPr>
          </c:dPt>
          <c:dPt>
            <c:idx val="3"/>
            <c:spPr>
              <a:solidFill>
                <a:srgbClr val="8064a2"/>
              </a:solidFill>
              <a:ln>
                <a:noFill/>
              </a:ln>
            </c:spPr>
          </c:dPt>
          <c:dPt>
            <c:idx val="4"/>
            <c:spPr>
              <a:solidFill>
                <a:srgbClr val="4bacc6"/>
              </a:solidFill>
              <a:ln>
                <a:noFill/>
              </a:ln>
            </c:spPr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1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2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3"/>
              <c:dLblPos val="bestFit"/>
              <c:showLegendKey val="0"/>
              <c:showVal val="0"/>
              <c:showCatName val="0"/>
              <c:showSerName val="0"/>
              <c:showPercent val="1"/>
            </c:dLbl>
            <c:dLbl>
              <c:idx val="4"/>
              <c:dLblPos val="bestFit"/>
              <c:showLegendKey val="0"/>
              <c:showVal val="0"/>
              <c:showCatName val="0"/>
              <c:showSerName val="0"/>
              <c:showPercent val="1"/>
            </c:dLbl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5"/>
                <c:pt idx="0">
                  <c:v>0.306</c:v>
                </c:pt>
                <c:pt idx="1">
                  <c:v>0.249</c:v>
                </c:pt>
                <c:pt idx="2">
                  <c:v>0.066</c:v>
                </c:pt>
                <c:pt idx="3">
                  <c:v>0.377</c:v>
                </c:pt>
                <c:pt idx="4">
                  <c:v>0.002</c:v>
                </c:pt>
              </c:numCache>
            </c:numRef>
          </c:val>
        </c:ser>
      </c:pie3DChart>
      <c:spPr>
        <a:solidFill>
          <a:srgbClr val="d9d9d9"/>
        </a:solidFill>
        <a:ln>
          <a:noFill/>
        </a:ln>
      </c:spPr>
    </c:plotArea>
    <c:legend>
      <c:layout>
        <c:manualLayout>
          <c:xMode val="edge"/>
          <c:yMode val="edge"/>
          <c:x val="0.63525"/>
          <c:y val="0.0558888888888889"/>
        </c:manualLayout>
      </c:layout>
      <c:spPr>
        <a:noFill/>
        <a:ln>
          <a:noFill/>
        </a:ln>
      </c:spPr>
    </c:legend>
    <c:plotVisOnly val="1"/>
    <c:dispBlanksAs val="zero"/>
  </c:chart>
  <c:spPr>
    <a:solidFill>
      <a:srgbClr val="ebf1de"/>
    </a:solidFill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noFill/>
        <a:ln w="9360">
          <a:solidFill>
            <a:srgbClr val="878787"/>
          </a:solidFill>
          <a:round/>
        </a:ln>
      </c:spPr>
    </c:floor>
    <c:backWall>
      <c:spPr>
        <a:noFill/>
        <a:ln w="9360">
          <a:solidFill>
            <a:srgbClr val="878787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4672a8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52</c:v>
                </c:pt>
                <c:pt idx="1">
                  <c:v>52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ab4744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4.8</c:v>
                </c:pt>
                <c:pt idx="1">
                  <c:v>4.8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8aa64f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0.5</c:v>
                </c:pt>
                <c:pt idx="1">
                  <c:v>0.5</c:v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725990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3.2</c:v>
                </c:pt>
                <c:pt idx="1">
                  <c:v>3.2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4299b0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36.4</c:v>
                </c:pt>
                <c:pt idx="1">
                  <c:v>36.4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культура,кинематография</c:v>
                </c:pt>
              </c:strCache>
            </c:strRef>
          </c:tx>
          <c:spPr>
            <a:solidFill>
              <a:srgbClr val="d09493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"/>
                <c:pt idx="0">
                  <c:v>7</c:v>
                </c:pt>
                <c:pt idx="1">
                  <c:v/>
                </c:pt>
              </c:numCache>
            </c:numRef>
          </c:val>
        </c:ser>
        <c:ser>
          <c:idx val="7"/>
          <c:order val="7"/>
          <c:tx>
            <c:strRef>
              <c:f>label 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</c:v>
                </c:pt>
                <c:pt idx="1">
                  <c:v>Факт 2019</c:v>
                </c:pt>
              </c:strCache>
            </c:strRef>
          </c:cat>
          <c:val>
            <c:numRef>
              <c:f>7</c:f>
              <c:numCache>
                <c:formatCode>General</c:formatCode>
                <c:ptCount val="2"/>
                <c:pt idx="0">
                  <c:v>3</c:v>
                </c:pt>
                <c:pt idx="1">
                  <c:v>3</c:v>
                </c:pt>
              </c:numCache>
            </c:numRef>
          </c:val>
        </c:ser>
        <c:gapWidth val="150"/>
        <c:shape val="box"/>
        <c:axId val="50051121"/>
        <c:axId val="15208542"/>
        <c:axId val="0"/>
      </c:bar3DChart>
      <c:catAx>
        <c:axId val="50051121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</a:defRPr>
            </a:pPr>
          </a:p>
        </c:txPr>
        <c:crossAx val="15208542"/>
        <c:crosses val="autoZero"/>
        <c:auto val="1"/>
        <c:lblAlgn val="ctr"/>
        <c:lblOffset val="100"/>
      </c:catAx>
      <c:valAx>
        <c:axId val="15208542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.0" sourceLinked="0"/>
        <c:majorTickMark val="out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Calibri"/>
              </a:defRPr>
            </a:pPr>
          </a:p>
        </c:txPr>
        <c:crossAx val="50051121"/>
        <c:crosses val="autoZero"/>
        <c:crossBetween val="midCat"/>
      </c:valAx>
      <c:spPr>
        <a:noFill/>
        <a:ln w="9360">
          <a:solidFill>
            <a:srgbClr val="878787"/>
          </a:solidFill>
          <a:round/>
        </a:ln>
      </c:spPr>
    </c:plotArea>
    <c:legend>
      <c:legendPos val="r"/>
      <c:overlay val="0"/>
      <c:spPr>
        <a:noFill/>
        <a:ln>
          <a:noFill/>
        </a:ln>
      </c:spPr>
    </c:legend>
    <c:plotVisOnly val="1"/>
    <c:dispBlanksAs val="gap"/>
  </c:chart>
  <c:spPr>
    <a:solidFill>
      <a:srgbClr val="ebf1de"/>
    </a:solidFill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view3D>
      <c:rotX val="15"/>
      <c:rotY val="20"/>
      <c:rAngAx val="1"/>
      <c:perspective val="30"/>
    </c:view3D>
    <c:floor>
      <c:spPr>
        <a:solidFill>
          <a:srgbClr val="c0c0c0"/>
        </a:solidFill>
        <a:ln w="3240">
          <a:solidFill>
            <a:srgbClr val="000000"/>
          </a:solidFill>
          <a:round/>
        </a:ln>
      </c:spPr>
    </c:floor>
    <c:backWall>
      <c:spPr>
        <a:solidFill>
          <a:srgbClr val="00ffff"/>
        </a:solidFill>
        <a:ln w="12600">
          <a:solidFill>
            <a:srgbClr val="808080"/>
          </a:solidFill>
          <a:round/>
        </a:ln>
      </c:spPr>
    </c:backWall>
    <c:plotArea>
      <c:bar3DChart>
        <c:barDir val="col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2"/>
                <c:pt idx="0">
                  <c:v>1049.21</c:v>
                </c:pt>
                <c:pt idx="1">
                  <c:v>1045.69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dc853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Национальная безопасность и правоохранительная деятельность</c:v>
                </c:pt>
              </c:strCache>
            </c:strRef>
          </c:tx>
          <c:spPr>
            <a:solidFill>
              <a:srgbClr val="93a9ce"/>
            </a:solidFill>
            <a:ln>
              <a:noFill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2"/>
                <c:pt idx="0">
                  <c:v>1</c:v>
                </c:pt>
                <c:pt idx="1">
                  <c:v/>
                </c:pt>
              </c:numCache>
            </c:numRef>
          </c:val>
        </c:ser>
        <c:ser>
          <c:idx val="3"/>
          <c:order val="3"/>
          <c:tx>
            <c:strRef>
              <c:f>label 3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3</c:f>
              <c:numCache>
                <c:formatCode>General</c:formatCode>
                <c:ptCount val="2"/>
                <c:pt idx="0">
                  <c:v>1007.02</c:v>
                </c:pt>
                <c:pt idx="1">
                  <c:v>1007.02</c:v>
                </c:pt>
              </c:numCache>
            </c:numRef>
          </c:val>
        </c:ser>
        <c:ser>
          <c:idx val="4"/>
          <c:order val="4"/>
          <c:tx>
            <c:strRef>
              <c:f>label 4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4</c:f>
              <c:numCache>
                <c:formatCode>General</c:formatCode>
                <c:ptCount val="2"/>
                <c:pt idx="0">
                  <c:v>3.19</c:v>
                </c:pt>
                <c:pt idx="1">
                  <c:v>3.19</c:v>
                </c:pt>
              </c:numCache>
            </c:numRef>
          </c:val>
        </c:ser>
        <c:ser>
          <c:idx val="5"/>
          <c:order val="5"/>
          <c:tx>
            <c:strRef>
              <c:f>label 5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5</c:f>
              <c:numCache>
                <c:formatCode>General</c:formatCode>
                <c:ptCount val="2"/>
                <c:pt idx="0">
                  <c:v>116.31</c:v>
                </c:pt>
                <c:pt idx="1">
                  <c:v>116.31</c:v>
                </c:pt>
              </c:numCache>
            </c:numRef>
          </c:val>
        </c:ser>
        <c:ser>
          <c:idx val="6"/>
          <c:order val="6"/>
          <c:tx>
            <c:strRef>
              <c:f>label 6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660066"/>
            </a:solidFill>
            <a:ln w="12600">
              <a:solidFill>
                <a:srgbClr val="000000"/>
              </a:solidFill>
              <a:round/>
            </a:ln>
          </c:spPr>
          <c:invertIfNegative val="0"/>
          <c:dLbls>
            <c:showLegendKey val="0"/>
            <c:showVal val="0"/>
            <c:showCatName val="0"/>
            <c:showSerName val="0"/>
            <c:showPercent val="0"/>
            <c:showLeaderLines val="0"/>
          </c:dLbls>
          <c:cat>
            <c:strRef>
              <c:f>categories</c:f>
              <c:strCache>
                <c:ptCount val="2"/>
                <c:pt idx="0">
                  <c:v>План 2019г</c:v>
                </c:pt>
                <c:pt idx="1">
                  <c:v>Факт 2019г</c:v>
                </c:pt>
              </c:strCache>
            </c:strRef>
          </c:cat>
          <c:val>
            <c:numRef>
              <c:f>6</c:f>
              <c:numCache>
                <c:formatCode>General</c:formatCode>
                <c:ptCount val="2"/>
                <c:pt idx="0">
                  <c:v>2765.33</c:v>
                </c:pt>
                <c:pt idx="1">
                  <c:v>2761.81</c:v>
                </c:pt>
              </c:numCache>
            </c:numRef>
          </c:val>
        </c:ser>
        <c:gapWidth val="150"/>
        <c:shape val="box"/>
        <c:axId val="48645471"/>
        <c:axId val="27978692"/>
        <c:axId val="0"/>
      </c:bar3DChart>
      <c:catAx>
        <c:axId val="48645471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low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2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Times New Roman"/>
                <a:ea typeface="Arial Cyr"/>
              </a:defRPr>
            </a:pPr>
          </a:p>
        </c:txPr>
        <c:crossAx val="27978692"/>
        <c:crosses val="autoZero"/>
        <c:auto val="1"/>
        <c:lblAlgn val="ctr"/>
        <c:lblOffset val="100"/>
      </c:catAx>
      <c:valAx>
        <c:axId val="27978692"/>
        <c:scaling>
          <c:orientation val="minMax"/>
        </c:scaling>
        <c:delete val="0"/>
        <c:axPos val="l"/>
        <c:majorGridlines>
          <c:spPr>
            <a:ln w="3240">
              <a:solidFill>
                <a:srgbClr val="000000"/>
              </a:solidFill>
              <a:round/>
            </a:ln>
          </c:spPr>
        </c:majorGridlines>
        <c:numFmt formatCode="General" sourceLinked="0"/>
        <c:majorTickMark val="out"/>
        <c:minorTickMark val="none"/>
        <c:tickLblPos val="nextTo"/>
        <c:spPr>
          <a:ln w="3240">
            <a:solidFill>
              <a:srgbClr val="000000"/>
            </a:solidFill>
            <a:round/>
          </a:ln>
        </c:spPr>
        <c:txPr>
          <a:bodyPr/>
          <a:p>
            <a:pPr>
              <a:defRPr b="1" sz="1197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 Cyr"/>
                <a:ea typeface="Arial Cyr"/>
              </a:defRPr>
            </a:pPr>
          </a:p>
        </c:txPr>
        <c:crossAx val="48645471"/>
        <c:crosses val="autoZero"/>
        <c:crossBetween val="midCat"/>
      </c:valAx>
      <c:spPr>
        <a:solidFill>
          <a:srgbClr val="00ffff"/>
        </a:solidFill>
        <a:ln w="12600">
          <a:solidFill>
            <a:srgbClr val="808080"/>
          </a:solidFill>
          <a:round/>
        </a:ln>
      </c:spPr>
    </c:plotArea>
    <c:legend>
      <c:layout>
        <c:manualLayout>
          <c:xMode val="edge"/>
          <c:yMode val="edge"/>
          <c:x val="0.694125"/>
          <c:y val="0.0847777777777778"/>
        </c:manualLayout>
      </c:layout>
      <c:spPr>
        <a:noFill/>
        <a:ln w="3240">
          <a:solidFill>
            <a:srgbClr val="000000"/>
          </a:solidFill>
          <a:round/>
        </a:ln>
      </c:spPr>
    </c:legend>
    <c:plotVisOnly val="1"/>
    <c:dispBlanksAs val="gap"/>
  </c:chart>
  <c:spPr>
    <a:noFill/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roundedCorners val="0"/>
  <c:chart>
    <c:plotArea>
      <c:barChart>
        <c:barDir val="col"/>
        <c:grouping val="clustered"/>
        <c:varyColors val="0"/>
        <c:gapWidth val="100"/>
        <c:overlap val="0"/>
        <c:axId val="77137193"/>
        <c:axId val="6666213"/>
      </c:barChart>
      <c:catAx>
        <c:axId val="77137193"/>
        <c:scaling>
          <c:orientation val="minMax"/>
        </c:scaling>
        <c:delete val="1"/>
        <c:axPos val="b"/>
        <c:numFmt formatCode="DD/MM/YYYY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6666213"/>
        <c:crossesAt val="0"/>
        <c:auto val="1"/>
        <c:lblAlgn val="ctr"/>
        <c:lblOffset val="100"/>
      </c:catAx>
      <c:valAx>
        <c:axId val="6666213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spPr>
          <a:ln>
            <a:solidFill>
              <a:srgbClr val="b3b3b3"/>
            </a:solidFill>
          </a:ln>
        </c:spPr>
        <c:txPr>
          <a:bodyPr/>
          <a:p>
            <a:pPr>
              <a:defRPr b="0" sz="1000" spc="-1" strike="noStrike">
                <a:solidFill>
                  <a:srgbClr val="000000"/>
                </a:solidFill>
                <a:uFill>
                  <a:solidFill>
                    <a:srgbClr val="ffffff"/>
                  </a:solidFill>
                </a:uFill>
                <a:latin typeface="Arial"/>
              </a:defRPr>
            </a:pPr>
          </a:p>
        </c:txPr>
        <c:crossAx val="77137193"/>
        <c:crosses val="min"/>
        <c:crossBetween val="midCat"/>
      </c:valAx>
      <c:spPr>
        <a:noFill/>
        <a:ln w="25200">
          <a:noFill/>
        </a:ln>
      </c:spPr>
    </c:plotArea>
    <c:plotVisOnly val="1"/>
    <c:dispBlanksAs val="gap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53489-8DC4-4F02-A06B-5DE96452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Application>LibreOffice/5.1.2.2$Windows_x86 LibreOffice_project/d3bf12ecb743fc0d20e0be0c58ca359301eb705f</Application>
  <Pages>9</Pages>
  <Words>645</Words>
  <Characters>4435</Characters>
  <CharactersWithSpaces>5350</CharactersWithSpaces>
  <Paragraphs>261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2015-04-16T10:59:00Z</dcterms:created>
  <dc:creator>пользователь</dc:creator>
  <dc:description/>
  <dc:language>ru-RU</dc:language>
  <cp:lastModifiedBy/>
  <cp:lastPrinted>2013-12-26T07:17:00Z</cp:lastPrinted>
  <dcterms:modified xsi:type="dcterms:W3CDTF">2020-08-05T15:33:36Z</dcterms:modified>
  <cp:revision>108</cp:revision>
  <dc:subject/>
  <dc:title>Уважаемые жители Ивантеевского муниципального района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