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02.05.2023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2303300073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4"/>
        <w:gridCol w:w="1361"/>
        <w:gridCol w:w="1194"/>
        <w:gridCol w:w="1415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с.Раевка, ул.Центральная, севернее нежилого здания №85 «Б»</w:t>
            </w:r>
            <w:r>
              <w:rPr>
                <w:rFonts w:ascii="Times New Roman" w:hAnsi="Times New Roman"/>
                <w:sz w:val="20"/>
                <w:szCs w:val="20"/>
              </w:rPr>
              <w:t>, категория земель: «земли населенных пунктов», вид разрешенного 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Магазины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Ограничений, обременений на земельный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участок не установлено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250101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:826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3 531,00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 тысячи  пятьсот тридцать 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105,93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пять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3 531,00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(три тысячи  пятьсот тридцать один) рубль 00 копеек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2" w:name="__DdeLink__4700_2580340641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2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справа от автодороги Ивантеевка-Знаменский, севернее АЗС</w:t>
            </w:r>
            <w:r>
              <w:rPr>
                <w:rFonts w:ascii="Times New Roman" w:hAnsi="Times New Roman"/>
                <w:sz w:val="20"/>
                <w:szCs w:val="20"/>
              </w:rPr>
              <w:t>, категория земель: «земли населенных пунктов», вид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307</w:t>
            </w:r>
          </w:p>
        </w:tc>
        <w:tc>
          <w:tcPr>
            <w:tcW w:w="96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1037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18 539,00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восемнадцать тысяч пятьсот тридцать девять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556,17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пятьсот пятьдесят шесть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ек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18 539,00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(восемнадцать тысяч пятьсот тридцать девять) рублей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 от 02.05.2023г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3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3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Степушкина Ольга Сергеевна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4" w:name="__DdeLink__5947_42409730831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№2 -  победителем признан</w:t>
      </w:r>
      <w:bookmarkEnd w:id="4"/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Артемасов Алексей Анатольевич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overflowPunct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LibreOffice/6.3.4.2$Windows_x86 LibreOffice_project/60da17e045e08f1793c57c00ba83cdfce946d0aa</Application>
  <Pages>1</Pages>
  <Words>241</Words>
  <Characters>1707</Characters>
  <CharactersWithSpaces>1962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2023-05-10T08:23:17Z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