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9E74AC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7B390E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Понедельник 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4 апреля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170AF8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7B390E">
        <w:rPr>
          <w:rFonts w:ascii="Times New Roman" w:hAnsi="Times New Roman" w:cs="Times New Roman"/>
          <w:b/>
          <w:color w:val="000000" w:themeColor="text1"/>
        </w:rPr>
        <w:t>3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</w:t>
      </w:r>
      <w:r w:rsidR="007B390E">
        <w:rPr>
          <w:rFonts w:ascii="Times New Roman" w:hAnsi="Times New Roman" w:cs="Times New Roman"/>
          <w:b/>
          <w:color w:val="000000" w:themeColor="text1"/>
        </w:rPr>
        <w:t>1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СОВЕТ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САРАТОВСКОЙ ОБЛАСТИ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Пятьдесят девятое заседание пятого созыва</w:t>
      </w:r>
    </w:p>
    <w:p w:rsidR="007B390E" w:rsidRPr="007B390E" w:rsidRDefault="007B390E" w:rsidP="007B390E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ab/>
        <w:t xml:space="preserve"> 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  <w:b/>
        </w:rPr>
      </w:pPr>
      <w:r w:rsidRPr="007B390E">
        <w:rPr>
          <w:rFonts w:ascii="Times New Roman" w:hAnsi="Times New Roman" w:cs="Times New Roman"/>
          <w:b/>
        </w:rPr>
        <w:t>РЕШЕНИЕ №4</w:t>
      </w:r>
    </w:p>
    <w:p w:rsidR="007B390E" w:rsidRPr="007B390E" w:rsidRDefault="007B390E" w:rsidP="007B390E">
      <w:pPr>
        <w:pStyle w:val="a7"/>
        <w:ind w:left="-709"/>
        <w:rPr>
          <w:rFonts w:ascii="Times New Roman" w:hAnsi="Times New Roman" w:cs="Times New Roman"/>
        </w:rPr>
      </w:pPr>
      <w:r w:rsidRPr="007B390E">
        <w:rPr>
          <w:rFonts w:ascii="Times New Roman" w:hAnsi="Times New Roman" w:cs="Times New Roman"/>
        </w:rPr>
        <w:t xml:space="preserve">от  4 апреля 2022 года                                                                                                                                                                                              </w:t>
      </w:r>
    </w:p>
    <w:p w:rsidR="007B390E" w:rsidRPr="007B390E" w:rsidRDefault="007B390E" w:rsidP="007B390E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7B390E">
        <w:rPr>
          <w:rFonts w:ascii="Times New Roman" w:hAnsi="Times New Roman" w:cs="Times New Roman"/>
        </w:rPr>
        <w:t>с</w:t>
      </w:r>
      <w:proofErr w:type="gramEnd"/>
      <w:r w:rsidRPr="007B390E">
        <w:rPr>
          <w:rFonts w:ascii="Times New Roman" w:hAnsi="Times New Roman" w:cs="Times New Roman"/>
        </w:rPr>
        <w:t>. Ивантеевка</w:t>
      </w:r>
    </w:p>
    <w:p w:rsidR="007B390E" w:rsidRPr="007B390E" w:rsidRDefault="007B390E" w:rsidP="007B390E">
      <w:pPr>
        <w:widowControl w:val="0"/>
        <w:rPr>
          <w:sz w:val="22"/>
          <w:szCs w:val="22"/>
        </w:rPr>
      </w:pPr>
    </w:p>
    <w:p w:rsidR="007B390E" w:rsidRPr="007B390E" w:rsidRDefault="007B390E" w:rsidP="007B390E">
      <w:pPr>
        <w:ind w:left="-709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>Об утверждении Порядка формирования тарифов</w:t>
      </w:r>
    </w:p>
    <w:p w:rsidR="007B390E" w:rsidRPr="007B390E" w:rsidRDefault="007B390E" w:rsidP="007B390E">
      <w:pPr>
        <w:ind w:left="-709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 xml:space="preserve">на откачку и вывоз жидких бытовых отходов </w:t>
      </w:r>
    </w:p>
    <w:p w:rsidR="007B390E" w:rsidRPr="007B390E" w:rsidRDefault="007B390E" w:rsidP="007B390E">
      <w:pPr>
        <w:ind w:left="-709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 xml:space="preserve">муниципальными учреждениями </w:t>
      </w:r>
    </w:p>
    <w:p w:rsidR="007B390E" w:rsidRPr="007B390E" w:rsidRDefault="007B390E" w:rsidP="007B390E">
      <w:pPr>
        <w:ind w:left="-709"/>
        <w:rPr>
          <w:b/>
          <w:sz w:val="22"/>
          <w:szCs w:val="22"/>
        </w:rPr>
      </w:pPr>
      <w:proofErr w:type="spellStart"/>
      <w:r w:rsidRPr="007B390E">
        <w:rPr>
          <w:b/>
          <w:sz w:val="22"/>
          <w:szCs w:val="22"/>
        </w:rPr>
        <w:t>Ивантеевского</w:t>
      </w:r>
      <w:proofErr w:type="spellEnd"/>
      <w:r w:rsidRPr="007B390E">
        <w:rPr>
          <w:b/>
          <w:sz w:val="22"/>
          <w:szCs w:val="22"/>
        </w:rPr>
        <w:t xml:space="preserve"> муниципального образования</w:t>
      </w:r>
    </w:p>
    <w:p w:rsidR="007B390E" w:rsidRPr="007B390E" w:rsidRDefault="007B390E" w:rsidP="007B390E">
      <w:pPr>
        <w:ind w:left="-709"/>
        <w:rPr>
          <w:b/>
          <w:sz w:val="22"/>
          <w:szCs w:val="22"/>
        </w:rPr>
      </w:pPr>
      <w:proofErr w:type="spellStart"/>
      <w:r w:rsidRPr="007B390E">
        <w:rPr>
          <w:b/>
          <w:sz w:val="22"/>
          <w:szCs w:val="22"/>
        </w:rPr>
        <w:t>Ивантеевского</w:t>
      </w:r>
      <w:proofErr w:type="spellEnd"/>
      <w:r w:rsidRPr="007B390E">
        <w:rPr>
          <w:b/>
          <w:sz w:val="22"/>
          <w:szCs w:val="22"/>
        </w:rPr>
        <w:t xml:space="preserve"> муниципального района Саратовской области</w:t>
      </w:r>
    </w:p>
    <w:p w:rsidR="007B390E" w:rsidRPr="007B390E" w:rsidRDefault="007B390E" w:rsidP="007B390E">
      <w:pPr>
        <w:ind w:left="-709"/>
        <w:rPr>
          <w:sz w:val="22"/>
          <w:szCs w:val="22"/>
        </w:rPr>
      </w:pPr>
    </w:p>
    <w:p w:rsidR="007B390E" w:rsidRPr="007B390E" w:rsidRDefault="007B390E" w:rsidP="007B390E">
      <w:pPr>
        <w:pStyle w:val="ConsPlusTitle"/>
        <w:ind w:left="-709"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390E">
        <w:rPr>
          <w:rFonts w:ascii="Times New Roman" w:hAnsi="Times New Roman" w:cs="Times New Roman"/>
          <w:b w:val="0"/>
          <w:sz w:val="22"/>
          <w:szCs w:val="22"/>
        </w:rPr>
        <w:t>В соответствии с  Федеральными законами от  06.10.2003 №131-ФЗ «Об общих принципах организации местного самоуправления в Российской Федерации», от 07.12.2011 №416-ФЗ  «О водоснабжении и водоотведении» и н</w:t>
      </w:r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 основании  статьи 21 Устава </w:t>
      </w:r>
      <w:proofErr w:type="spellStart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  </w:t>
      </w:r>
      <w:r w:rsidRPr="007B390E">
        <w:rPr>
          <w:rFonts w:ascii="Times New Roman" w:hAnsi="Times New Roman" w:cs="Times New Roman"/>
          <w:color w:val="000000"/>
          <w:sz w:val="22"/>
          <w:szCs w:val="22"/>
        </w:rPr>
        <w:t>РЕШИЛ:</w:t>
      </w:r>
    </w:p>
    <w:p w:rsidR="007B390E" w:rsidRPr="007B390E" w:rsidRDefault="007B390E" w:rsidP="007B390E">
      <w:pPr>
        <w:pStyle w:val="ConsPlusTitle"/>
        <w:ind w:left="-709" w:firstLine="425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B390E">
        <w:rPr>
          <w:rFonts w:ascii="Times New Roman" w:hAnsi="Times New Roman" w:cs="Times New Roman"/>
          <w:b w:val="0"/>
          <w:sz w:val="22"/>
          <w:szCs w:val="22"/>
        </w:rPr>
        <w:t xml:space="preserve">1. Утвердить Порядок формирования тарифов на откачку и вывоз жидких бытовых отходов муниципальными учреждениями </w:t>
      </w:r>
      <w:proofErr w:type="spellStart"/>
      <w:r w:rsidRPr="007B390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(прилагается).</w:t>
      </w:r>
    </w:p>
    <w:p w:rsidR="007B390E" w:rsidRPr="007B390E" w:rsidRDefault="007B390E" w:rsidP="007B390E">
      <w:pPr>
        <w:ind w:left="-709" w:firstLine="425"/>
        <w:jc w:val="both"/>
        <w:rPr>
          <w:color w:val="000000"/>
          <w:kern w:val="36"/>
          <w:sz w:val="22"/>
          <w:szCs w:val="22"/>
        </w:rPr>
      </w:pPr>
      <w:r w:rsidRPr="007B390E">
        <w:rPr>
          <w:sz w:val="22"/>
          <w:szCs w:val="22"/>
        </w:rPr>
        <w:t>2.</w:t>
      </w:r>
      <w:r w:rsidRPr="007B390E">
        <w:rPr>
          <w:color w:val="000000"/>
          <w:sz w:val="22"/>
          <w:szCs w:val="22"/>
        </w:rPr>
        <w:t xml:space="preserve"> Настоящее решение опубликовать в </w:t>
      </w:r>
      <w:r w:rsidRPr="007B390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7B390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7B390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7B390E">
        <w:rPr>
          <w:color w:val="000000"/>
          <w:sz w:val="22"/>
          <w:szCs w:val="22"/>
        </w:rPr>
        <w:t xml:space="preserve"> и разместить на  официальном сайте администрации </w:t>
      </w:r>
      <w:proofErr w:type="spellStart"/>
      <w:r w:rsidRPr="007B390E">
        <w:rPr>
          <w:bCs/>
          <w:color w:val="000000"/>
          <w:sz w:val="22"/>
          <w:szCs w:val="22"/>
        </w:rPr>
        <w:t>Ивантеевского</w:t>
      </w:r>
      <w:proofErr w:type="spellEnd"/>
      <w:r w:rsidRPr="007B390E">
        <w:rPr>
          <w:bCs/>
          <w:color w:val="000000"/>
          <w:sz w:val="22"/>
          <w:szCs w:val="22"/>
        </w:rPr>
        <w:t xml:space="preserve"> </w:t>
      </w:r>
      <w:r w:rsidRPr="007B390E">
        <w:rPr>
          <w:color w:val="000000"/>
          <w:sz w:val="22"/>
          <w:szCs w:val="22"/>
        </w:rPr>
        <w:t>муниципального района в сети «Интернет»</w:t>
      </w:r>
      <w:r w:rsidRPr="007B390E">
        <w:rPr>
          <w:bCs/>
          <w:color w:val="000000"/>
          <w:sz w:val="22"/>
          <w:szCs w:val="22"/>
        </w:rPr>
        <w:t xml:space="preserve"> (</w:t>
      </w:r>
      <w:proofErr w:type="spellStart"/>
      <w:r w:rsidRPr="007B390E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7B390E">
        <w:rPr>
          <w:bCs/>
          <w:color w:val="000000"/>
          <w:sz w:val="22"/>
          <w:szCs w:val="22"/>
        </w:rPr>
        <w:t>.</w:t>
      </w:r>
      <w:proofErr w:type="spellStart"/>
      <w:r w:rsidRPr="007B390E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7B390E">
        <w:rPr>
          <w:bCs/>
          <w:color w:val="000000"/>
          <w:sz w:val="22"/>
          <w:szCs w:val="22"/>
        </w:rPr>
        <w:t>.</w:t>
      </w:r>
      <w:proofErr w:type="spellStart"/>
      <w:r w:rsidRPr="007B390E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7B390E">
        <w:rPr>
          <w:bCs/>
          <w:color w:val="000000"/>
          <w:sz w:val="22"/>
          <w:szCs w:val="22"/>
        </w:rPr>
        <w:t>)</w:t>
      </w:r>
      <w:r w:rsidRPr="007B390E">
        <w:rPr>
          <w:color w:val="000000"/>
          <w:sz w:val="22"/>
          <w:szCs w:val="22"/>
        </w:rPr>
        <w:t>.</w:t>
      </w:r>
    </w:p>
    <w:p w:rsidR="007B390E" w:rsidRPr="007B390E" w:rsidRDefault="007B390E" w:rsidP="007B390E">
      <w:pPr>
        <w:pStyle w:val="ConsPlusNormal"/>
        <w:widowControl/>
        <w:tabs>
          <w:tab w:val="left" w:pos="0"/>
        </w:tabs>
        <w:ind w:left="-709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3. Настоящее решение вступает в силу с момента опубликования.</w:t>
      </w:r>
    </w:p>
    <w:p w:rsidR="007B390E" w:rsidRPr="007B390E" w:rsidRDefault="007B390E" w:rsidP="007B39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B390E" w:rsidRPr="007B390E" w:rsidRDefault="007B390E" w:rsidP="007B390E">
      <w:pPr>
        <w:jc w:val="both"/>
        <w:rPr>
          <w:sz w:val="22"/>
          <w:szCs w:val="22"/>
        </w:rPr>
      </w:pPr>
    </w:p>
    <w:p w:rsidR="007B390E" w:rsidRPr="007B390E" w:rsidRDefault="007B390E" w:rsidP="007B390E">
      <w:pPr>
        <w:ind w:left="-709"/>
        <w:jc w:val="both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 xml:space="preserve">Глава </w:t>
      </w:r>
      <w:proofErr w:type="spellStart"/>
      <w:r w:rsidRPr="007B390E">
        <w:rPr>
          <w:b/>
          <w:sz w:val="22"/>
          <w:szCs w:val="22"/>
        </w:rPr>
        <w:t>Ивантеевского</w:t>
      </w:r>
      <w:proofErr w:type="spellEnd"/>
    </w:p>
    <w:p w:rsidR="007B390E" w:rsidRPr="007B390E" w:rsidRDefault="007B390E" w:rsidP="007B390E">
      <w:pPr>
        <w:ind w:left="-709"/>
        <w:jc w:val="both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 xml:space="preserve">муниципального образования </w:t>
      </w:r>
    </w:p>
    <w:p w:rsidR="007B390E" w:rsidRPr="007B390E" w:rsidRDefault="007B390E" w:rsidP="007B390E">
      <w:pPr>
        <w:ind w:left="-709"/>
        <w:jc w:val="both"/>
        <w:rPr>
          <w:b/>
          <w:sz w:val="22"/>
          <w:szCs w:val="22"/>
        </w:rPr>
      </w:pPr>
      <w:proofErr w:type="spellStart"/>
      <w:r w:rsidRPr="007B390E">
        <w:rPr>
          <w:b/>
          <w:sz w:val="22"/>
          <w:szCs w:val="22"/>
        </w:rPr>
        <w:t>Ивантеевского</w:t>
      </w:r>
      <w:proofErr w:type="spellEnd"/>
      <w:r w:rsidRPr="007B390E">
        <w:rPr>
          <w:b/>
          <w:sz w:val="22"/>
          <w:szCs w:val="22"/>
        </w:rPr>
        <w:t xml:space="preserve"> муниципального района        </w:t>
      </w:r>
    </w:p>
    <w:p w:rsidR="007B390E" w:rsidRPr="007B390E" w:rsidRDefault="007B390E" w:rsidP="007B390E">
      <w:pPr>
        <w:ind w:left="-709"/>
        <w:jc w:val="both"/>
        <w:rPr>
          <w:b/>
          <w:sz w:val="22"/>
          <w:szCs w:val="22"/>
        </w:rPr>
      </w:pPr>
      <w:r w:rsidRPr="007B390E">
        <w:rPr>
          <w:b/>
          <w:sz w:val="22"/>
          <w:szCs w:val="22"/>
        </w:rPr>
        <w:t>Саратовской об</w:t>
      </w:r>
      <w:r>
        <w:rPr>
          <w:b/>
          <w:sz w:val="22"/>
          <w:szCs w:val="22"/>
        </w:rPr>
        <w:t xml:space="preserve">ласти                   </w:t>
      </w:r>
      <w:r w:rsidRPr="007B390E">
        <w:rPr>
          <w:b/>
          <w:sz w:val="22"/>
          <w:szCs w:val="22"/>
        </w:rPr>
        <w:t xml:space="preserve"> И.В. Черникова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>Приложение №1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 xml:space="preserve">к решению Совета </w:t>
      </w:r>
      <w:proofErr w:type="spellStart"/>
      <w:r w:rsidRPr="007B390E">
        <w:rPr>
          <w:sz w:val="22"/>
          <w:szCs w:val="22"/>
        </w:rPr>
        <w:t>Ивантеевского</w:t>
      </w:r>
      <w:proofErr w:type="spellEnd"/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 xml:space="preserve"> муниципального образования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>от 04.04.2022 г. №4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>«Об утверждении Порядка формирования тарифов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 xml:space="preserve">на откачку и вывоз жидких бытовых отходов 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r w:rsidRPr="007B390E">
        <w:rPr>
          <w:sz w:val="22"/>
          <w:szCs w:val="22"/>
        </w:rPr>
        <w:t xml:space="preserve">муниципальными учреждениями 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proofErr w:type="spellStart"/>
      <w:r w:rsidRPr="007B390E">
        <w:rPr>
          <w:sz w:val="22"/>
          <w:szCs w:val="22"/>
        </w:rPr>
        <w:t>Ивантеевского</w:t>
      </w:r>
      <w:proofErr w:type="spellEnd"/>
      <w:r w:rsidRPr="007B390E">
        <w:rPr>
          <w:sz w:val="22"/>
          <w:szCs w:val="22"/>
        </w:rPr>
        <w:t xml:space="preserve"> муниципального образования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  <w:proofErr w:type="spellStart"/>
      <w:r w:rsidRPr="007B390E">
        <w:rPr>
          <w:sz w:val="22"/>
          <w:szCs w:val="22"/>
        </w:rPr>
        <w:t>Ивантеевского</w:t>
      </w:r>
      <w:proofErr w:type="spellEnd"/>
      <w:r w:rsidRPr="007B390E">
        <w:rPr>
          <w:sz w:val="22"/>
          <w:szCs w:val="22"/>
        </w:rPr>
        <w:t xml:space="preserve"> муниципального района Саратовской области»</w:t>
      </w:r>
    </w:p>
    <w:p w:rsidR="007B390E" w:rsidRPr="007B390E" w:rsidRDefault="007B390E" w:rsidP="007B390E">
      <w:pPr>
        <w:jc w:val="right"/>
        <w:rPr>
          <w:sz w:val="22"/>
          <w:szCs w:val="22"/>
        </w:rPr>
      </w:pPr>
    </w:p>
    <w:p w:rsidR="007B390E" w:rsidRPr="007B390E" w:rsidRDefault="007B390E" w:rsidP="007B39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7B390E" w:rsidRPr="007B390E" w:rsidRDefault="007B390E" w:rsidP="007B39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b/>
          <w:sz w:val="22"/>
          <w:szCs w:val="22"/>
        </w:rPr>
        <w:t xml:space="preserve">формирования тарифов на откачку и вывоз жидких бытовых отходов муниципальными учреждениями </w:t>
      </w:r>
      <w:proofErr w:type="spellStart"/>
      <w:r w:rsidRPr="007B390E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b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r w:rsidRPr="007B390E">
        <w:rPr>
          <w:rFonts w:ascii="Times New Roman" w:hAnsi="Times New Roman" w:cs="Times New Roman"/>
          <w:b/>
          <w:sz w:val="22"/>
          <w:szCs w:val="22"/>
        </w:rPr>
        <w:lastRenderedPageBreak/>
        <w:t>Саратовской области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390E" w:rsidRPr="007B390E" w:rsidRDefault="007B390E" w:rsidP="007B39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1.1. Настоящий Порядок формирования тарифов на откачку жидких бытовых отходов муниципальными учреждениями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(далее - Порядок) разработан в соответствии 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: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Федеральным законом от 07.12.2011 №416-ФЗ  «О водоснабжении и водоотведении»,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 Уставом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1.2. Порядок определяет единый метод расчета (обоснования), согласования и принятия тарифа на откачку и вывоз жидких бытовых отходов и обеспечивает решение следующих задач: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контроль обоснованности затрат муниципальных учреждений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области;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установление экономически обоснованного уровня затрат муниципальных учреждений, обеспечивающих качество оказываемых услуг по откачке и вывозу жидких бытовых отходов (далее - ЖБО),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создание экономической заинтересованности муниципальных учреждений в повышении эффективности использования ресурсов и снижении затрат.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1.3. Тарифы на откачку и вывоз ЖБО, устанавливаются постановлением администрации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распространяются на все муниципальные учреждения, оказывающие данный вид услуг на территории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области.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1.4. Пересмотр тарифов на откачку и вывоз ЖБО производится не чаще чем один раз в год.</w:t>
      </w:r>
    </w:p>
    <w:p w:rsidR="007B390E" w:rsidRPr="007B390E" w:rsidRDefault="007B390E" w:rsidP="007B39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b/>
          <w:sz w:val="22"/>
          <w:szCs w:val="22"/>
        </w:rPr>
        <w:t>2. Методика расчета тарифа</w:t>
      </w:r>
    </w:p>
    <w:p w:rsidR="007B390E" w:rsidRPr="007B390E" w:rsidRDefault="007B390E" w:rsidP="007B39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390E" w:rsidRPr="007B390E" w:rsidRDefault="007B390E" w:rsidP="007B390E">
      <w:pPr>
        <w:ind w:firstLine="709"/>
        <w:jc w:val="both"/>
        <w:rPr>
          <w:sz w:val="22"/>
          <w:szCs w:val="22"/>
        </w:rPr>
      </w:pPr>
      <w:r w:rsidRPr="007B390E">
        <w:rPr>
          <w:sz w:val="22"/>
          <w:szCs w:val="22"/>
        </w:rPr>
        <w:t>2.1.  Расчетный тариф определяется исходя из расчетной максимальной себестоимости 1 куб. м. ЖБО с учетом планового количества откаченных и вывезенных жидких бытовых отходов.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Тариф рассчитывается на один кубический метр жидких бытовых отходов (приложение №1).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2.2. Максимальная себестоимость 1 куб. м. ЖБО (S) определяется по формуле (1).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S = 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 xml:space="preserve"> + CН +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ш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+ 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ТО</w:t>
      </w:r>
      <w:r w:rsidRPr="007B390E">
        <w:rPr>
          <w:rFonts w:ascii="Times New Roman" w:hAnsi="Times New Roman" w:cs="Times New Roman"/>
          <w:sz w:val="22"/>
          <w:szCs w:val="22"/>
        </w:rPr>
        <w:t xml:space="preserve"> + 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, руб./км (1)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 xml:space="preserve"> - определенные в соответствии с подпунктом 2.2.1.настоящего Порядка расходы на оплату труда водителей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СН - определенные в соответствии с подпунктом 2.2.2. настоящего Порядка отчисления на социальные нужды от оплаты труда водителей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определенные в соответствии с подпунктом 2.2.3. настоящего Порядка расходы на топливо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определенные в соответствии с подпунктом 2.2.4. настоящего Порядка расходы на смазочные и прочие эксплуатационные материалы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ЖБО;</w:t>
      </w:r>
    </w:p>
    <w:p w:rsidR="007B390E" w:rsidRPr="007B390E" w:rsidRDefault="007B390E" w:rsidP="007B390E">
      <w:pPr>
        <w:ind w:firstLine="709"/>
        <w:jc w:val="both"/>
        <w:rPr>
          <w:sz w:val="22"/>
          <w:szCs w:val="22"/>
        </w:rPr>
      </w:pPr>
      <w:proofErr w:type="gramStart"/>
      <w:r w:rsidRPr="007B390E">
        <w:rPr>
          <w:sz w:val="22"/>
          <w:szCs w:val="22"/>
        </w:rPr>
        <w:t>ПР</w:t>
      </w:r>
      <w:proofErr w:type="gramEnd"/>
      <w:r w:rsidRPr="007B390E">
        <w:rPr>
          <w:sz w:val="22"/>
          <w:szCs w:val="22"/>
        </w:rPr>
        <w:t xml:space="preserve"> - определенные в соответствии с подпунктом 2.2.5. настоящего Порядка прочие расходы по обычным видам деятельности в сумме с косвенными расходами для транспортных средств.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2.2.1. Расходы на оплату труда водителей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 (Р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>) определяются по формуле (2)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 xml:space="preserve"> = ЗП х 1,15 х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I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пц</w:t>
      </w:r>
      <w:proofErr w:type="spellEnd"/>
      <w:proofErr w:type="gramStart"/>
      <w:r w:rsidRPr="007B390E">
        <w:rPr>
          <w:rFonts w:ascii="Times New Roman" w:hAnsi="Times New Roman" w:cs="Times New Roman"/>
          <w:sz w:val="22"/>
          <w:szCs w:val="22"/>
        </w:rPr>
        <w:t xml:space="preserve"> / К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, руб./куб. м (2)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ЗП - минимальный 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размер оплаты труда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 xml:space="preserve"> (установленный Федеральным законом "О минимальном размере оплаты труда");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1,15 - надбавка, увеличивающая размер заработной платы труда работника (районный коэффициент);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пц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индекс потребительских цен, принимаемый в соответствии со сценарными условиями для формирования вариантов развития экономики Саратовской области и основных показателей прогноза социально-экономического развития Саратовской области;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К - плановое количество 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вывезенных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 xml:space="preserve"> ЖБО в месяц, куб. м.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2.2.2. Отчисления на социальные нужды от оплаты труда водителей транспортных средств в расчете на 1 куб. м. ЖБО (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Н) определяются по формуле (3).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390E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Н = 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 xml:space="preserve"> x (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С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/ 100), руб./куб. м (3)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ОТ</w:t>
      </w:r>
      <w:r w:rsidRPr="007B390E">
        <w:rPr>
          <w:rFonts w:ascii="Times New Roman" w:hAnsi="Times New Roman" w:cs="Times New Roman"/>
          <w:sz w:val="22"/>
          <w:szCs w:val="22"/>
        </w:rPr>
        <w:t xml:space="preserve"> - расходы на оплату труда водителей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ЖБО, руб.;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lastRenderedPageBreak/>
        <w:t>С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2.2.3. Расходы на топливо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 (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) определяются в соответствии с постановлением Госстроя РФ  от 09 марта 2004 года №36 «Об утверждении рекомендаций по расходу топлива машинами для содержания, ремонта автомобильных дорог и объектов внешнего благоустройства поселений»</w:t>
      </w:r>
      <w:r w:rsidRPr="007B390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B390E">
        <w:rPr>
          <w:rFonts w:ascii="Times New Roman" w:hAnsi="Times New Roman" w:cs="Times New Roman"/>
          <w:sz w:val="22"/>
          <w:szCs w:val="22"/>
        </w:rPr>
        <w:t xml:space="preserve"> по формуле (4).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= (</w:t>
      </w: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R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зс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) / 4 х C x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I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пц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, руб./куб. м (4)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нормативный расход топлива на транспортировку 1 цистерны;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зс</w:t>
      </w:r>
      <w:proofErr w:type="spell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 xml:space="preserve"> -</w:t>
      </w:r>
      <w:r w:rsidRPr="007B390E">
        <w:rPr>
          <w:rFonts w:ascii="Times New Roman" w:hAnsi="Times New Roman" w:cs="Times New Roman"/>
          <w:sz w:val="22"/>
          <w:szCs w:val="22"/>
        </w:rPr>
        <w:t xml:space="preserve"> нормативный расход на заполнение и слив 1 цистерны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Нормы расхода топлива устанавливаются для каждой модели специализированного автомобиля. 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пц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индекс потребительских цен, принимаемый в соответствии со сценарными условиями для формирования вариантов развития экономики Саратовской области и основных показателей прогноза социально-экономического развития Саратовской области.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2.2.4. Расходы на смазочные и прочие эксплуатационные материалы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 (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) определяются по формуле (5).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= 0,075 x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, руб./куб. м (5)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расходы на топливо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2.2.5. Прочие затраты по обычным видам деятельности в сумме с косвенными расходами для транспортных средств (ПКР) определяются по формуле (6). 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 xml:space="preserve">К элементу "Прочие затраты" в составе себестоимости услуг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цеховые расходы,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общеэксплуатационные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расходы, а также другие затраты, входящие в состав себестоимости услуг, но не относящиеся к ранее перечисленным элементам затрат.</w:t>
      </w:r>
      <w:proofErr w:type="gramEnd"/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ПЗ = </w:t>
      </w: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K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x (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>), руб./куб. м (6)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где: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K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отношение суммы прочих расходов по обычным видам деятельности и косвенных расходов к переменным расходам (принимается равным не более 0,6);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т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определенные в соответствии с пунктом 2.2.3.настоящего Порядка расходы на топливо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ЖБО;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B390E">
        <w:rPr>
          <w:rFonts w:ascii="Times New Roman" w:hAnsi="Times New Roman" w:cs="Times New Roman"/>
          <w:sz w:val="22"/>
          <w:szCs w:val="22"/>
        </w:rPr>
        <w:t>Р</w:t>
      </w:r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см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- определенные в соответствии с пунктом 2.2.4. настоящего Порядка расходы на смазочные и прочие эксплуатационные материалы для транспортных сре</w:t>
      </w:r>
      <w:proofErr w:type="gramStart"/>
      <w:r w:rsidRPr="007B390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7B390E">
        <w:rPr>
          <w:rFonts w:ascii="Times New Roman" w:hAnsi="Times New Roman" w:cs="Times New Roman"/>
          <w:sz w:val="22"/>
          <w:szCs w:val="22"/>
        </w:rPr>
        <w:t>асчете на 1 куб. м. ЖБО.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B390E">
        <w:rPr>
          <w:rFonts w:ascii="Times New Roman" w:hAnsi="Times New Roman" w:cs="Times New Roman"/>
          <w:sz w:val="22"/>
          <w:szCs w:val="22"/>
        </w:rPr>
        <w:t>K</w:t>
      </w:r>
      <w:proofErr w:type="gramEnd"/>
      <w:r w:rsidRPr="007B390E">
        <w:rPr>
          <w:rFonts w:ascii="Times New Roman" w:hAnsi="Times New Roman" w:cs="Times New Roman"/>
          <w:sz w:val="22"/>
          <w:szCs w:val="22"/>
          <w:vertAlign w:val="subscript"/>
        </w:rPr>
        <w:t>пр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– принимается в размере 0,4.</w:t>
      </w:r>
    </w:p>
    <w:p w:rsidR="007B390E" w:rsidRPr="007B390E" w:rsidRDefault="007B390E" w:rsidP="007B39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Уровень рентабельности, обеспечивающий экономически устойчивую деятельность - не более 1,1.</w:t>
      </w:r>
    </w:p>
    <w:p w:rsidR="007B390E" w:rsidRDefault="007B390E" w:rsidP="007B390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390E" w:rsidRPr="007B390E" w:rsidRDefault="007B390E" w:rsidP="007B390E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B390E" w:rsidRPr="007B390E" w:rsidRDefault="007B390E" w:rsidP="007B390E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B390E">
        <w:rPr>
          <w:rFonts w:ascii="Times New Roman" w:hAnsi="Times New Roman" w:cs="Times New Roman"/>
          <w:sz w:val="22"/>
          <w:szCs w:val="22"/>
        </w:rPr>
        <w:t xml:space="preserve">К порядку формирования тарифов на откачку и вывоз жидких бытовых отходов муниципальными учреждениями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7B390E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7B390E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</w:t>
      </w:r>
    </w:p>
    <w:p w:rsidR="007B390E" w:rsidRPr="007B390E" w:rsidRDefault="007B390E" w:rsidP="007B390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B390E" w:rsidRPr="007B390E" w:rsidRDefault="007B390E" w:rsidP="007B39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E">
        <w:rPr>
          <w:rFonts w:ascii="Times New Roman" w:hAnsi="Times New Roman" w:cs="Times New Roman"/>
          <w:b/>
          <w:sz w:val="22"/>
          <w:szCs w:val="22"/>
        </w:rPr>
        <w:t>Расчет тарифа</w:t>
      </w:r>
    </w:p>
    <w:p w:rsidR="007B390E" w:rsidRPr="007B390E" w:rsidRDefault="007B390E" w:rsidP="007B39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028"/>
        <w:gridCol w:w="1559"/>
        <w:gridCol w:w="1774"/>
      </w:tblGrid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Един</w:t>
            </w:r>
            <w:proofErr w:type="gramStart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зм.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Сумма расходов</w:t>
            </w: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B390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Расходы на оплату труда водителей транспортных сре</w:t>
            </w:r>
            <w:proofErr w:type="gramStart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Отчисления на социальные нужды от оплаты труда водителей транспортных сре</w:t>
            </w:r>
            <w:proofErr w:type="gramStart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Расходы на топливо для транспортных сре</w:t>
            </w:r>
            <w:proofErr w:type="gramStart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смазочные и прочие эксплуатационные </w:t>
            </w:r>
            <w:r w:rsidRPr="007B3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для транспортных сре</w:t>
            </w:r>
            <w:proofErr w:type="gramStart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Прочие расходы по обычным видам деятельности в расчете на 1 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right="-1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Всего расходов на 1 куб. м с учетом уровня рентабельности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90E" w:rsidRPr="007B390E" w:rsidTr="00304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E" w:rsidRPr="007B390E" w:rsidRDefault="007B390E" w:rsidP="0030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0E">
              <w:rPr>
                <w:rFonts w:ascii="Times New Roman" w:hAnsi="Times New Roman" w:cs="Times New Roman"/>
                <w:b/>
                <w:sz w:val="22"/>
                <w:szCs w:val="22"/>
              </w:rPr>
              <w:t>руб./куб. 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7B390E" w:rsidRDefault="007B390E" w:rsidP="0030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B390E" w:rsidRPr="007B390E" w:rsidRDefault="007B390E" w:rsidP="007B390E">
      <w:pPr>
        <w:rPr>
          <w:sz w:val="22"/>
          <w:szCs w:val="22"/>
        </w:rPr>
      </w:pPr>
    </w:p>
    <w:p w:rsidR="007B390E" w:rsidRPr="007B390E" w:rsidRDefault="007B390E" w:rsidP="007B390E">
      <w:pPr>
        <w:jc w:val="both"/>
        <w:rPr>
          <w:b/>
          <w:sz w:val="22"/>
          <w:szCs w:val="22"/>
        </w:rPr>
      </w:pPr>
    </w:p>
    <w:p w:rsidR="007B390E" w:rsidRPr="007B390E" w:rsidRDefault="007B390E" w:rsidP="007B390E">
      <w:pPr>
        <w:jc w:val="both"/>
        <w:rPr>
          <w:b/>
          <w:sz w:val="22"/>
          <w:szCs w:val="22"/>
        </w:rPr>
      </w:pPr>
    </w:p>
    <w:p w:rsidR="007B390E" w:rsidRPr="007B390E" w:rsidRDefault="007B390E" w:rsidP="007B390E">
      <w:pPr>
        <w:jc w:val="both"/>
        <w:rPr>
          <w:b/>
          <w:sz w:val="22"/>
          <w:szCs w:val="22"/>
        </w:rPr>
      </w:pPr>
    </w:p>
    <w:p w:rsidR="007B390E" w:rsidRPr="007B390E" w:rsidRDefault="007B390E" w:rsidP="007B390E">
      <w:pPr>
        <w:jc w:val="both"/>
        <w:rPr>
          <w:b/>
          <w:sz w:val="22"/>
          <w:szCs w:val="22"/>
        </w:rPr>
      </w:pPr>
    </w:p>
    <w:p w:rsidR="007B390E" w:rsidRPr="007B390E" w:rsidRDefault="007B390E" w:rsidP="007B390E">
      <w:pPr>
        <w:jc w:val="both"/>
        <w:rPr>
          <w:b/>
          <w:sz w:val="22"/>
          <w:szCs w:val="22"/>
        </w:rPr>
      </w:pPr>
    </w:p>
    <w:p w:rsidR="007B390E" w:rsidRPr="007B390E" w:rsidRDefault="007B390E" w:rsidP="007B390E">
      <w:pPr>
        <w:rPr>
          <w:sz w:val="22"/>
          <w:szCs w:val="22"/>
        </w:rPr>
      </w:pPr>
    </w:p>
    <w:p w:rsidR="002F2592" w:rsidRPr="007B390E" w:rsidRDefault="002F2592" w:rsidP="00AC484F">
      <w:pPr>
        <w:pStyle w:val="ad"/>
        <w:overflowPunct/>
        <w:autoSpaceDE/>
        <w:adjustRightInd/>
        <w:ind w:left="-567" w:firstLine="0"/>
        <w:rPr>
          <w:b/>
          <w:sz w:val="22"/>
          <w:szCs w:val="22"/>
        </w:rPr>
      </w:pPr>
    </w:p>
    <w:p w:rsidR="008B44E1" w:rsidRDefault="008B44E1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7B390E" w:rsidRDefault="007B390E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AC484F" w:rsidRPr="00AC484F" w:rsidRDefault="00AC484F" w:rsidP="00E93385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E93385" w:rsidRDefault="0089770F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FD0761" w:rsidRPr="00E93385" w:rsidRDefault="00FD0761" w:rsidP="0012263A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</w:t>
            </w:r>
            <w:r w:rsidR="0012263A" w:rsidRPr="00E93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75959" w:rsidRPr="00E933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390E">
              <w:rPr>
                <w:color w:val="000000" w:themeColor="text1"/>
                <w:sz w:val="22"/>
                <w:szCs w:val="22"/>
              </w:rPr>
              <w:t>04</w:t>
            </w:r>
            <w:r w:rsidRPr="00E93385">
              <w:rPr>
                <w:color w:val="000000" w:themeColor="text1"/>
                <w:sz w:val="22"/>
                <w:szCs w:val="22"/>
              </w:rPr>
              <w:t>.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0</w:t>
            </w:r>
            <w:r w:rsidR="007B390E">
              <w:rPr>
                <w:color w:val="000000" w:themeColor="text1"/>
                <w:sz w:val="22"/>
                <w:szCs w:val="22"/>
              </w:rPr>
              <w:t>4</w:t>
            </w:r>
            <w:bookmarkStart w:id="1" w:name="_GoBack"/>
            <w:bookmarkEnd w:id="1"/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 w:rsidR="00E93385" w:rsidRPr="00E93385">
              <w:rPr>
                <w:color w:val="000000" w:themeColor="text1"/>
                <w:sz w:val="22"/>
                <w:szCs w:val="22"/>
              </w:rPr>
              <w:t>2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FD0761" w:rsidRPr="00E93385" w:rsidRDefault="00FD0761" w:rsidP="00A00848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E93385" w:rsidRDefault="00FD0761" w:rsidP="00A00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753" w:rsidRPr="0089770F" w:rsidRDefault="00E80753" w:rsidP="00E93385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9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AC" w:rsidRDefault="009E74AC" w:rsidP="0040148A">
      <w:r>
        <w:separator/>
      </w:r>
    </w:p>
  </w:endnote>
  <w:endnote w:type="continuationSeparator" w:id="0">
    <w:p w:rsidR="009E74AC" w:rsidRDefault="009E74AC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AD" w:rsidRDefault="009E60A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390E">
      <w:rPr>
        <w:noProof/>
      </w:rPr>
      <w:t>1</w:t>
    </w:r>
    <w:r>
      <w:fldChar w:fldCharType="end"/>
    </w:r>
  </w:p>
  <w:p w:rsidR="009E60AD" w:rsidRDefault="009E6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AC" w:rsidRDefault="009E74AC" w:rsidP="0040148A">
      <w:r>
        <w:separator/>
      </w:r>
    </w:p>
  </w:footnote>
  <w:footnote w:type="continuationSeparator" w:id="0">
    <w:p w:rsidR="009E74AC" w:rsidRDefault="009E74AC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1554"/>
    <w:rsid w:val="00EC2C0E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7C8B-56DB-4B60-8EE7-2FE925F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113</cp:revision>
  <cp:lastPrinted>2021-11-01T04:37:00Z</cp:lastPrinted>
  <dcterms:created xsi:type="dcterms:W3CDTF">2019-09-11T09:25:00Z</dcterms:created>
  <dcterms:modified xsi:type="dcterms:W3CDTF">2022-04-04T11:38:00Z</dcterms:modified>
</cp:coreProperties>
</file>