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Style22"/>
        <w:jc w:val="center"/>
        <w:rPr/>
      </w:pPr>
      <w:r>
        <w:rPr>
          <w:b/>
          <w:sz w:val="28"/>
          <w:szCs w:val="28"/>
        </w:rPr>
        <w:t>ЗНАМЕНСКОГО</w:t>
      </w:r>
      <w:r>
        <w:rPr>
          <w:b/>
          <w:sz w:val="28"/>
          <w:szCs w:val="28"/>
        </w:rPr>
        <w:t xml:space="preserve"> МУНИЦИПАЛЬНОГО ОБРАЗОВАНИЯ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>
      <w:pPr>
        <w:pStyle w:val="Style22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>
      <w:pPr>
        <w:pStyle w:val="Style1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yle16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cs="Times New Roman" w:ascii="Times New Roman" w:hAnsi="Times New Roman"/>
          <w:b/>
          <w:bCs/>
          <w:sz w:val="28"/>
          <w:szCs w:val="28"/>
        </w:rPr>
        <w:t>13-а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.2021 г.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п.Знаменский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Arial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Об установлении форм отчетности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и пороговых значений показателей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эффективности использования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имущества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Знаменского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Ивантеевского муниципального района Саратовской области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 w:eastAsia="Times New Roman" w:cs="Arial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распоряжением Правительства РФ от 12.10.2020г. 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ru-RU"/>
        </w:rPr>
        <w:t xml:space="preserve">руководствуясь Уставом Знаменского муниципального образования, 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Установить формы отчетности и пороговые значения показателей эффективности использования муниципального имущества Знаменского муниципального образования Ивантеевского муниципального района Саратовской области согласно приложению к настоящему постановлению.</w:t>
      </w:r>
    </w:p>
    <w:p>
      <w:pPr>
        <w:pStyle w:val="Style21"/>
        <w:ind w:firstLine="586"/>
        <w:jc w:val="both"/>
        <w:rPr/>
      </w:pPr>
      <w:r>
        <w:rPr>
          <w:rFonts w:cs="Times New Roman"/>
          <w:b/>
          <w:bCs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Опубликовать настоящее постановление в официальном информационном </w:t>
      </w:r>
      <w:r>
        <w:rPr>
          <w:rFonts w:cs="Times New Roman"/>
          <w:sz w:val="28"/>
          <w:szCs w:val="28"/>
        </w:rPr>
        <w:t>сборнике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</w:rPr>
        <w:t>Знаменский</w:t>
      </w:r>
      <w:r>
        <w:rPr>
          <w:rFonts w:cs="Times New Roman"/>
          <w:sz w:val="28"/>
          <w:szCs w:val="28"/>
        </w:rPr>
        <w:t xml:space="preserve"> Вестник» и разместить на официальном сайте администрации Ивантеевского муниципального района в разделе «</w:t>
      </w:r>
      <w:r>
        <w:rPr>
          <w:rFonts w:cs="Times New Roman"/>
          <w:sz w:val="28"/>
          <w:szCs w:val="28"/>
        </w:rPr>
        <w:t>Знаменское</w:t>
      </w:r>
      <w:r>
        <w:rPr>
          <w:rFonts w:cs="Times New Roman"/>
          <w:sz w:val="28"/>
          <w:szCs w:val="28"/>
        </w:rPr>
        <w:t xml:space="preserve">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spacing w:beforeAutospacing="0" w:before="0" w:afterAutospacing="0" w:after="0"/>
        <w:ind w:firstLine="58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Глава Знаменского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>
        <w:rPr>
          <w:rFonts w:eastAsia="Times New Roman" w:cs="Arial" w:ascii="Times New Roman" w:hAnsi="Times New Roman"/>
          <w:b/>
          <w:color w:val="000000"/>
          <w:sz w:val="28"/>
          <w:szCs w:val="28"/>
          <w:lang w:eastAsia="ru-RU"/>
        </w:rPr>
        <w:t>И.Н.Уколова</w:t>
      </w:r>
      <w:r>
        <w:rPr>
          <w:rFonts w:eastAsia="Times New Roman" w:cs="Arial" w:ascii="Arial" w:hAnsi="Arial"/>
          <w:color w:val="000000"/>
          <w:sz w:val="19"/>
          <w:szCs w:val="19"/>
          <w:lang w:eastAsia="ru-RU"/>
        </w:rPr>
        <w:br/>
      </w:r>
    </w:p>
    <w:p>
      <w:pPr>
        <w:pStyle w:val="Normal"/>
        <w:spacing w:lineRule="atLeast" w:line="325" w:before="0" w:after="0"/>
        <w:ind w:firstLine="709"/>
        <w:jc w:val="both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248"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ConsPlusTitle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</w:t>
      </w:r>
    </w:p>
    <w:p>
      <w:pPr>
        <w:pStyle w:val="ConsPlusTitle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 постановлению администрации</w:t>
      </w:r>
    </w:p>
    <w:p>
      <w:pPr>
        <w:pStyle w:val="ConsPlusTitle1"/>
        <w:jc w:val="right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Знаменского муниципального образования </w:t>
      </w:r>
    </w:p>
    <w:p>
      <w:pPr>
        <w:pStyle w:val="ConsPlusTitle1"/>
        <w:widowControl/>
        <w:spacing w:lineRule="atLeast" w:line="315" w:before="0" w:after="0"/>
        <w:ind w:left="4248" w:firstLine="454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>02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>.0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>.2021г. №</w:t>
      </w:r>
      <w:r>
        <w:rPr>
          <w:rFonts w:eastAsia="Times New Roman" w:cs="Times New Roman" w:ascii="Times New Roman" w:hAnsi="Times New Roman"/>
          <w:b w:val="false"/>
          <w:bCs/>
          <w:color w:val="000000"/>
          <w:sz w:val="24"/>
          <w:szCs w:val="24"/>
          <w:lang w:eastAsia="ru-RU"/>
        </w:rPr>
        <w:t>13-а</w:t>
      </w:r>
    </w:p>
    <w:p>
      <w:pPr>
        <w:pStyle w:val="Normal"/>
        <w:spacing w:lineRule="auto" w:line="240" w:before="0" w:after="0"/>
        <w:ind w:left="4248" w:firstLine="454"/>
        <w:jc w:val="right"/>
        <w:rPr>
          <w:rFonts w:ascii="Calibri" w:hAnsi="Calibri" w:eastAsia="Times New Roman" w:cs="Arial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Об установлении форм отчетности и пороговых значений показателей эффективности использования муниципального имущества Знаменского муниципального образования Ивантеевского муниципального района Саратовской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 Администрация Знаменского муниципального образования Ивантеевского муниципального района Саратовской области (далее -Администрация) при управлении и распоряжении муниципальным имуществом должна руководствоваться распоряжением Правительство Российской Федерации от 12 октября 2020г. № 2645-р «Об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им» и ежегодно, до 15 июля года, следующего за отчетным, размещать в системе «Управление» отчетность об эффективности управления и распоряжения муниципальным имуществом по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формам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предусмотренным данным постановлением.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Администрация, осуществляющая функции по управлению имуществом муниципального образования, проводит ежегодный мониторинг и анализ отчетности, указанной в пункте 1.1. настоящего постановления, в отношении муниципального имущества.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45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Формы отчетности и пороговых значений показателей эффективности использования </w:t>
      </w: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</w:p>
    <w:p>
      <w:pPr>
        <w:pStyle w:val="Normal"/>
        <w:spacing w:lineRule="auto" w:line="240" w:before="0" w:after="0"/>
        <w:ind w:firstLine="454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Знаменского муниципального образования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2.1. Анализ эффективности использования </w:t>
      </w:r>
      <w:bookmarkStart w:id="0" w:name="__DdeLink__996_2562730962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имущества Знаменского муниципального образования</w:t>
      </w:r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осуществляется по следующим показателям эффективности: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передачи на безвозмездной основе объектов муниципального имущества Знаменского муниципального образования в целях имущественной поддержки некоммерческим организациям - по форме отчетности, предусмотренной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1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показатели, характеризующие эффективность управления и распоряжения объектами муниципального имущества Знаменского муниципального образования, которые включены в перечни имущества, предоставляемого субъектам малого и среднего предпринимательства, - по форме отчетности, предусмотренной </w:t>
      </w:r>
      <w:hyperlink r:id="rId4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2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показатели, характеризующие эффективность управления и распоряжения земельными участками, - по форме отчетности, предусмотренной </w:t>
      </w:r>
      <w:hyperlink r:id="rId5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3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Vrinda" w:ascii="Vrinda" w:hAnsi="Vrinda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доля просроченной более чем на 3 квартала задолженности по договорам аренды объектов муниципального имущества, по которым Администрацией не проводились мероприятия по взысканию задолженности в судебном порядке или не направлялись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 судебные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претензии по состоянию на 31 декабря отчетного года, в общей сумме арендной платы за отчетный год;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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доля объектов культурного наследия (памятников истории и культуры) народов Российской Федерации, в отношении которых оформлены охранные обязательства в соответствии с Федеральным </w:t>
      </w:r>
      <w:hyperlink r:id="rId6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законом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"Об объектах культурного наследия (памятниках истории и культуры) народов Российской Федерации", в общем количестве объектов культурного наследия, находящихся в собственности Знаменского муниципального образования;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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доля объектов незавершенного строительства, в отношении которых реализована в отчетном году целевая функция согласно планам-графикам, размещенным в государственной автоматизированной информационной системе «Управление», в общем количестве объектов незавершенного строительства, для которых целевая функция была установлена на отчетный год;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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доля объектов муниципального имущества, вовлеченных в коммерческий оборот в рамках концессионных соглашений, соглашений о государственно-частном 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муниципальном-частном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 партнерстве, инвестиционных договоров, в общем количестве объектов недвижимого имущества, находящихся в собственности Знаменского муниципального образования на конец отчетного года.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Отчетность составляется по каждому объекту муниципального имущества Знаменского муниципального образования на основе данных бюджетной отчетности.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2.3. Оценка показателей эффективности использования объектов муниципального имущества Знаменского муниципального образования осуществляется администрацией Знаменского муниципального образования. При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достижении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пороговых значений показателей эффективности администрация Знаменского муниципального образования осуществляет подготовку плана повышения эффективности управления и распоряжения муниципальным имуществом Знаменского муниципального образования с указанием конкретных объектов, по которым в плановом периоде может предусматриваться: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взыскание задолженности;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вовлечение в инфраструктурные проекты и отношения, связанные с инвестиционной деятельностью;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в) закрепление за органами местного самоуправления;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г) закрепление за муниципальными унитарными предприятиями и учреждениями на праве хозяйственного ведения или оперативного управления;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д) передача на иной уровень публичной собственности;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е) мероприятия по предоставлению земельных участков в соответствии с Земельным </w:t>
      </w:r>
      <w:hyperlink r:id="rId7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ж) реализация земельных участков в соответствии с Земельным </w:t>
      </w:r>
      <w:hyperlink r:id="rId8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кодексом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з) приватизация.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25. Анализ эффективности приватизации муниципального имущества Знаменского муниципального образования осуществляется по показателям по форме отчетности, предусмотренной </w:t>
      </w:r>
      <w:hyperlink r:id="rId9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u w:val="none"/>
            <w:lang w:eastAsia="ru-RU"/>
          </w:rPr>
          <w:t>таблицей 4</w:t>
        </w:r>
      </w:hyperlink>
      <w:r>
        <w:rPr>
          <w:rFonts w:eastAsia="Times New Roman" w:cs="Times New Roman"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приложения к настоящей методике.</w:t>
      </w:r>
    </w:p>
    <w:p>
      <w:pPr>
        <w:pStyle w:val="Normal"/>
        <w:spacing w:lineRule="auto" w:line="240" w:before="0" w:after="0"/>
        <w:ind w:firstLine="454"/>
        <w:jc w:val="right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right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1</w:t>
      </w:r>
    </w:p>
    <w:p>
      <w:pPr>
        <w:pStyle w:val="Normal"/>
        <w:spacing w:lineRule="auto" w:line="240" w:before="0" w:after="0"/>
        <w:ind w:firstLine="454"/>
        <w:jc w:val="center"/>
        <w:rPr/>
      </w:pPr>
      <w:bookmarkStart w:id="1" w:name="Par734"/>
      <w:bookmarkEnd w:id="1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елям эффективности передачи</w:t>
      </w:r>
    </w:p>
    <w:p>
      <w:pPr>
        <w:pStyle w:val="Normal"/>
        <w:spacing w:lineRule="auto" w:line="240" w:before="0" w:after="0"/>
        <w:ind w:firstLine="454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на безвозмездной основе объектов муниципального имущества Знаменского муниципального образования в целях имущественной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поддержки некоммерческим организац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иям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tbl>
      <w:tblPr>
        <w:tblW w:w="9417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1"/>
        <w:gridCol w:w="1649"/>
        <w:gridCol w:w="1325"/>
        <w:gridCol w:w="1323"/>
        <w:gridCol w:w="19"/>
      </w:tblGrid>
      <w:tr>
        <w:trPr/>
        <w:tc>
          <w:tcPr>
            <w:tcW w:w="5101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64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25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1323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и полномочия учредителя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 </w:t>
            </w:r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tbl>
      <w:tblPr>
        <w:tblW w:w="9107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46" w:type="dxa"/>
          <w:bottom w:w="102" w:type="dxa"/>
          <w:right w:w="62" w:type="dxa"/>
        </w:tblCellMar>
        <w:tblLook w:val="04a0"/>
      </w:tblPr>
      <w:tblGrid>
        <w:gridCol w:w="622"/>
        <w:gridCol w:w="6917"/>
        <w:gridCol w:w="2"/>
        <w:gridCol w:w="1566"/>
      </w:tblGrid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 эффективности (баллов)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нарушений использования имущества, выявленных за отчетный период по результатам проверки: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нарушения выявлены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нарушения не выявлены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Отношение количества устраненных нарушений к общему количеству нарушений, выявленных по результатам проверок (за отчетный период):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от 0 до 75% (включительно)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более 75% (равно либо отсутствие нарушений)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2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2" w:name="Par789"/>
      <w:bookmarkEnd w:id="2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показателям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, характеризующим эффективность управления</w:t>
      </w:r>
    </w:p>
    <w:p>
      <w:pPr>
        <w:pStyle w:val="Normal"/>
        <w:spacing w:lineRule="auto" w:line="240" w:before="0" w:after="0"/>
        <w:ind w:firstLine="454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и распоряжения объектами муниципального имущества Знаменского муниципального образования, которые включены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в перечни имущества, предоставляемого субъектам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eastAsia="ru-RU"/>
        </w:rPr>
        <w:t>малого и среднего предприни</w:t>
      </w: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мательства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tbl>
      <w:tblPr>
        <w:tblW w:w="9070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7"/>
        <w:gridCol w:w="1757"/>
        <w:gridCol w:w="1341"/>
        <w:gridCol w:w="1474"/>
        <w:gridCol w:w="21"/>
      </w:tblGrid>
      <w:tr>
        <w:trPr/>
        <w:tc>
          <w:tcPr>
            <w:tcW w:w="447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41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1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 </w:t>
            </w:r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tbl>
      <w:tblPr>
        <w:tblW w:w="9107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46" w:type="dxa"/>
          <w:bottom w:w="102" w:type="dxa"/>
          <w:right w:w="62" w:type="dxa"/>
        </w:tblCellMar>
        <w:tblLook w:val="04a0"/>
      </w:tblPr>
      <w:tblGrid>
        <w:gridCol w:w="622"/>
        <w:gridCol w:w="6917"/>
        <w:gridCol w:w="2"/>
        <w:gridCol w:w="1566"/>
      </w:tblGrid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 эффективности (баллов)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Количество проведенных в течение года торгов в отношении каждого объекта казны публично-правового образования </w:t>
            </w:r>
            <w:r>
              <w:fldChar w:fldCharType="begin"/>
            </w:r>
            <w:r>
              <w:instrText> HYPERLINK "http://pravo-search.minjust.ru:8080/bigs/portal.html" \l "Par836"</w:instrText>
            </w:r>
            <w:r>
              <w:fldChar w:fldCharType="separate"/>
            </w: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lang w:eastAsia="ru-RU"/>
              </w:rPr>
              <w:t>&lt;1&gt;</w:t>
            </w:r>
            <w:r>
              <w:fldChar w:fldCharType="end"/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: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торги не проводились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процедура была проведена и признана несостоявшейся по причине того, что не подана ни одна заявка/подана одна заявка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в) проведена состоявшаяся процедура торгов и по результатам торгов заключен договор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ru-RU"/>
        </w:rPr>
        <w:t>--------------------------------</w:t>
      </w:r>
    </w:p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3" w:name="Par836"/>
      <w:bookmarkEnd w:id="3"/>
      <w:r>
        <w:rPr>
          <w:rFonts w:eastAsia="Times New Roman" w:cs="Times New Roman" w:ascii="Times New Roman" w:hAnsi="Times New Roman"/>
          <w:color w:val="000000"/>
          <w:lang w:eastAsia="ru-RU"/>
        </w:rPr>
        <w:t>&lt;1&gt; Совокупное значение показателя эффективности рассчитывается методом среднего арифметического (сумма всех чисел множества, деленная на их количество).</w:t>
      </w:r>
    </w:p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Arial" w:ascii="Arial" w:hAnsi="Arial"/>
          <w:color w:val="000000"/>
          <w:sz w:val="19"/>
          <w:szCs w:val="19"/>
          <w:lang w:eastAsia="ru-RU"/>
        </w:rPr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3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4" w:name="Par842"/>
      <w:bookmarkEnd w:id="4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показателям, характеризующим эффективность управления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и распоряжения земельными участками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tbl>
      <w:tblPr>
        <w:tblW w:w="9070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7"/>
        <w:gridCol w:w="1757"/>
        <w:gridCol w:w="1341"/>
        <w:gridCol w:w="1474"/>
        <w:gridCol w:w="21"/>
      </w:tblGrid>
      <w:tr>
        <w:trPr/>
        <w:tc>
          <w:tcPr>
            <w:tcW w:w="447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757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41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147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1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в сфере имущественных отношений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 </w:t>
            </w: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tbl>
      <w:tblPr>
        <w:tblW w:w="9107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46" w:type="dxa"/>
          <w:bottom w:w="102" w:type="dxa"/>
          <w:right w:w="62" w:type="dxa"/>
        </w:tblCellMar>
        <w:tblLook w:val="04a0"/>
      </w:tblPr>
      <w:tblGrid>
        <w:gridCol w:w="622"/>
        <w:gridCol w:w="6917"/>
        <w:gridCol w:w="2"/>
        <w:gridCol w:w="1566"/>
      </w:tblGrid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 эффективности (баллов)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Процент сокращения  площади земельных участков муниципальной казны, не вовлеченных в хозяйственный оборот, по отношению к площади земельных участков муниципальной казны в 2012 году (за исключением земельных участков, изъятых из оборота и ограниченных в обороте):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Площадь земельных участков, находящихся в муниципальной собственности, в отношении которых сформированы и уточнены границы, а также внесены сведения в Единый государственный реестр недвижимости(га):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9"/>
          <w:szCs w:val="19"/>
          <w:lang w:eastAsia="ru-RU"/>
        </w:rPr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right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4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bookmarkStart w:id="5" w:name="Par899"/>
      <w:bookmarkEnd w:id="5"/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ФОРМА ОТЧЕТНОСТИ</w:t>
      </w:r>
    </w:p>
    <w:p>
      <w:pPr>
        <w:pStyle w:val="Normal"/>
        <w:spacing w:lineRule="auto" w:line="240" w:before="0" w:after="0"/>
        <w:ind w:firstLine="454"/>
        <w:jc w:val="center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по показателям, характеризующим эффективность приватизации</w:t>
      </w:r>
    </w:p>
    <w:p>
      <w:pPr>
        <w:pStyle w:val="Normal"/>
        <w:spacing w:lineRule="auto" w:line="240" w:before="0" w:after="0"/>
        <w:ind w:firstLine="454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 xml:space="preserve">объектов муниципального имущества </w:t>
      </w:r>
    </w:p>
    <w:p>
      <w:pPr>
        <w:pStyle w:val="Normal"/>
        <w:spacing w:lineRule="auto" w:line="240" w:before="0" w:after="0"/>
        <w:ind w:firstLine="454"/>
        <w:jc w:val="both"/>
        <w:rPr>
          <w:rFonts w:ascii="Times New Roman" w:hAnsi="Times New Roman" w:eastAsia="Times New Roman" w:cs="Times New Roman"/>
          <w:b/>
          <w:b/>
          <w:bCs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</w:r>
    </w:p>
    <w:tbl>
      <w:tblPr>
        <w:tblW w:w="9007" w:type="dxa"/>
        <w:jc w:val="left"/>
        <w:tblInd w:w="0" w:type="dxa"/>
        <w:tblBorders>
          <w:bottom w:val="single" w:sz="6" w:space="0" w:color="000001"/>
          <w:insideH w:val="single" w:sz="6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1018"/>
        <w:gridCol w:w="1476"/>
        <w:gridCol w:w="654"/>
        <w:gridCol w:w="20"/>
      </w:tblGrid>
      <w:tr>
        <w:trPr/>
        <w:tc>
          <w:tcPr>
            <w:tcW w:w="5839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1 ________________ 20__ г.</w:t>
            </w:r>
          </w:p>
        </w:tc>
        <w:tc>
          <w:tcPr>
            <w:tcW w:w="1018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76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Коды</w:t>
            </w:r>
          </w:p>
        </w:tc>
        <w:tc>
          <w:tcPr>
            <w:tcW w:w="65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20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Орган местного самоуправления, осуществляющий функции и полномочия в сфере имущественных отношений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Глава по БК</w:t>
            </w:r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бюджета ППО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 </w:t>
            </w: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color w:val="000000"/>
                  <w:lang w:eastAsia="ru-RU"/>
                </w:rPr>
                <w:t>ОКТМО</w:t>
              </w:r>
            </w:hyperlink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Периодичность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годовая</w:t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5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  <w:tc>
          <w:tcPr>
            <w:tcW w:w="6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tbl>
      <w:tblPr>
        <w:tblW w:w="9107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2" w:type="dxa"/>
          <w:left w:w="46" w:type="dxa"/>
          <w:bottom w:w="102" w:type="dxa"/>
          <w:right w:w="62" w:type="dxa"/>
        </w:tblCellMar>
        <w:tblLook w:val="04a0"/>
      </w:tblPr>
      <w:tblGrid>
        <w:gridCol w:w="622"/>
        <w:gridCol w:w="6917"/>
        <w:gridCol w:w="2"/>
        <w:gridCol w:w="1566"/>
      </w:tblGrid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Параметры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Показатели эффективности (баллов)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продаж пакетов акций акционерных обществ, подлежащих продаже в соответствии с прогнозным планом (программой) приватизации: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Доля продаж объектов имущества муниципальной казны, подлежащих продаже в соответствии с прогнозным планом (программой) приватизации (за исключением пакетов акций акционерных обществ):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а) плановые показатели не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</w:t>
            </w:r>
          </w:p>
        </w:tc>
      </w:tr>
      <w:tr>
        <w:trPr/>
        <w:tc>
          <w:tcPr>
            <w:tcW w:w="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 </w:t>
            </w:r>
          </w:p>
        </w:tc>
        <w:tc>
          <w:tcPr>
            <w:tcW w:w="6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б) плановые показатели достигнуты</w:t>
            </w:r>
          </w:p>
        </w:tc>
        <w:tc>
          <w:tcPr>
            <w:tcW w:w="15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50</w:t>
            </w:r>
          </w:p>
        </w:tc>
      </w:tr>
      <w:tr>
        <w:trPr/>
        <w:tc>
          <w:tcPr>
            <w:tcW w:w="75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Максимальное значение показателя эффективности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454"/>
        <w:jc w:val="both"/>
        <w:rPr>
          <w:rFonts w:ascii="Arial" w:hAnsi="Arial" w:eastAsia="Times New Roman" w:cs="Arial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 </w:t>
      </w:r>
    </w:p>
    <w:p>
      <w:pPr>
        <w:pStyle w:val="Normal"/>
        <w:spacing w:lineRule="auto" w:line="240" w:before="0" w:after="0"/>
        <w:ind w:firstLine="454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rinda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54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qFormat/>
    <w:rsid w:val="00c22141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00" w:customStyle="1">
    <w:name w:val="normal00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Footer"/>
    <w:basedOn w:val="Normal"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Header"/>
    <w:basedOn w:val="Normal"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 w:customStyle="1">
    <w:name w:val="nospacing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0" w:customStyle="1">
    <w:name w:val="listparagraph0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c221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Без интервала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sz w:val="24"/>
      <w:szCs w:val="21"/>
      <w:lang w:val="ru-RU" w:eastAsia="zh-CN" w:bidi="hi-IN"/>
    </w:rPr>
  </w:style>
  <w:style w:type="paragraph" w:styleId="Consplustitle">
    <w:name w:val="consplu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1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b/>
      <w:bCs/>
      <w:color w:val="00000A"/>
      <w:sz w:val="24"/>
      <w:szCs w:val="24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nla-service.scli.ru:8080/rnla-links/ws/content/act/" TargetMode="External"/><Relationship Id="rId3" Type="http://schemas.openxmlformats.org/officeDocument/2006/relationships/hyperlink" Target="http://rnla-service.scli.ru:8080/rnla-links/ws/content/act/" TargetMode="External"/><Relationship Id="rId4" Type="http://schemas.openxmlformats.org/officeDocument/2006/relationships/hyperlink" Target="http://rnla-service.scli.ru:8080/rnla-links/ws/content/act/" TargetMode="External"/><Relationship Id="rId5" Type="http://schemas.openxmlformats.org/officeDocument/2006/relationships/hyperlink" Target="http://rnla-service.scli.ru:8080/rnla-links/ws/content/act/" TargetMode="External"/><Relationship Id="rId6" Type="http://schemas.openxmlformats.org/officeDocument/2006/relationships/hyperlink" Target="http://rnla-service.scli.ru:8080/rnla-links/ws/content/act/" TargetMode="External"/><Relationship Id="rId7" Type="http://schemas.openxmlformats.org/officeDocument/2006/relationships/hyperlink" Target="http://rnla-service.scli.ru:8080/rnla-links/ws/content/act/" TargetMode="External"/><Relationship Id="rId8" Type="http://schemas.openxmlformats.org/officeDocument/2006/relationships/hyperlink" Target="http://rnla-service.scli.ru:8080/rnla-links/ws/content/act/" TargetMode="External"/><Relationship Id="rId9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1" Type="http://schemas.openxmlformats.org/officeDocument/2006/relationships/hyperlink" Target="http://rnla-service.scli.ru:8080/rnla-links/ws/content/act/" TargetMode="External"/><Relationship Id="rId12" Type="http://schemas.openxmlformats.org/officeDocument/2006/relationships/hyperlink" Target="http://rnla-service.scli.ru:8080/rnla-links/ws/content/act/" TargetMode="External"/><Relationship Id="rId13" Type="http://schemas.openxmlformats.org/officeDocument/2006/relationships/hyperlink" Target="http://rnla-service.scli.ru:8080/rnla-links/ws/content/act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LibreOffice/5.1.2.2$Windows_x86 LibreOffice_project/d3bf12ecb743fc0d20e0be0c58ca359301eb705f</Application>
  <Pages>7</Pages>
  <Words>1218</Words>
  <Characters>9517</Characters>
  <CharactersWithSpaces>10777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2021-06-28T07:31:00Z</dcterms:created>
  <dc:creator>Администрация</dc:creator>
  <dc:description/>
  <dc:language>ru-RU</dc:language>
  <cp:lastModifiedBy/>
  <dcterms:modified xsi:type="dcterms:W3CDTF">2021-12-21T13:58:34Z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