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w:t>
      </w:r>
      <w:r>
        <w:rPr>
          <w:rFonts w:eastAsia="Times New Roman" w:cs="Times New Roman"/>
          <w:b w:val="false"/>
          <w:bCs w:val="false"/>
          <w:color w:val="00000A"/>
          <w:kern w:val="0"/>
          <w:sz w:val="24"/>
          <w:szCs w:val="24"/>
          <w:lang w:val="ru-RU" w:eastAsia="en-US" w:bidi="ar-SA"/>
        </w:rPr>
        <w:t>28.07</w:t>
      </w:r>
      <w:r>
        <w:rPr>
          <w:rFonts w:eastAsia="Times New Roman" w:cs="Times New Roman"/>
          <w:b w:val="false"/>
          <w:bCs w:val="false"/>
          <w:color w:val="00000A"/>
          <w:kern w:val="0"/>
          <w:sz w:val="24"/>
          <w:szCs w:val="24"/>
          <w:lang w:val="ru-RU" w:eastAsia="en-US" w:bidi="ar-SA"/>
        </w:rPr>
        <w:t>.2023г. №</w:t>
      </w:r>
      <w:r>
        <w:rPr>
          <w:rFonts w:eastAsia="Times New Roman" w:cs="Times New Roman"/>
          <w:b w:val="false"/>
          <w:bCs w:val="false"/>
          <w:color w:val="00000A"/>
          <w:kern w:val="0"/>
          <w:sz w:val="24"/>
          <w:szCs w:val="24"/>
          <w:lang w:val="ru-RU" w:eastAsia="en-US" w:bidi="ar-SA"/>
        </w:rPr>
        <w:t>304</w:t>
      </w:r>
      <w:r>
        <w:rPr>
          <w:rFonts w:eastAsia="Times New Roman" w:cs="Times New Roman"/>
          <w:b w:val="false"/>
          <w:bCs w:val="false"/>
          <w:color w:val="00000A"/>
          <w:kern w:val="0"/>
          <w:sz w:val="24"/>
          <w:szCs w:val="24"/>
          <w:lang w:val="ru-RU" w:eastAsia="en-US" w:bidi="ar-SA"/>
        </w:rPr>
        <w:t xml:space="preserve"> «О проведении аукциона на право заключения договора аренды земельного участка с кадастровым номером 64:14:220102:357,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65"/>
        <w:gridCol w:w="2434"/>
        <w:gridCol w:w="917"/>
        <w:gridCol w:w="1645"/>
        <w:gridCol w:w="1018"/>
        <w:gridCol w:w="1309"/>
        <w:gridCol w:w="1202"/>
        <w:gridCol w:w="1288"/>
      </w:tblGrid>
      <w:tr>
        <w:trPr>
          <w:trHeight w:val="67" w:hRule="atLeast"/>
          <w:cantSplit w:val="true"/>
        </w:trPr>
        <w:tc>
          <w:tcPr>
            <w:tcW w:w="56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4"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0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2"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r>
              <w:rPr>
                <w:rFonts w:eastAsia="Times New Roman" w:cs="Times New Roman"/>
                <w:color w:val="00000A"/>
                <w:kern w:val="0"/>
                <w:sz w:val="20"/>
                <w:szCs w:val="20"/>
                <w:lang w:val="ru-RU" w:eastAsia="ru-RU" w:bidi="ar-SA"/>
              </w:rPr>
              <w:t xml:space="preserve">с.Ивантеевка, </w:t>
            </w:r>
            <w:bookmarkEnd w:id="0"/>
            <w:r>
              <w:rPr>
                <w:rFonts w:eastAsia="Times New Roman" w:cs="Times New Roman"/>
                <w:color w:val="00000A"/>
                <w:kern w:val="0"/>
                <w:sz w:val="20"/>
                <w:szCs w:val="20"/>
                <w:lang w:val="ru-RU" w:eastAsia="ru-RU" w:bidi="ar-SA"/>
              </w:rPr>
              <w:t xml:space="preserve">ул.Фабричная, у восточ-ной границы з/у 14А </w:t>
            </w:r>
            <w:r>
              <w:rPr/>
              <w:t>,с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испоьзование»</w:t>
            </w:r>
            <w:r>
              <w:rPr/>
              <w:t>,  категория земель: «</w:t>
            </w:r>
            <w:r>
              <w:rPr>
                <w:rFonts w:eastAsia="Times New Roman" w:cs="Times New Roman"/>
                <w:color w:val="00000A"/>
                <w:kern w:val="0"/>
                <w:sz w:val="20"/>
                <w:szCs w:val="20"/>
                <w:lang w:val="ru-RU" w:eastAsia="ru-RU" w:bidi="ar-SA"/>
              </w:rPr>
              <w:t>населенных пунктов».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5лет</w:t>
            </w:r>
            <w:r>
              <w:rPr>
                <w:bCs/>
              </w:rPr>
              <w:t xml:space="preserve"> </w:t>
            </w:r>
            <w:r>
              <w:rPr>
                <w:rFonts w:eastAsia="Times New Roman" w:cs="Times New Roman"/>
                <w:bCs/>
                <w:color w:val="00000A"/>
                <w:kern w:val="0"/>
                <w:sz w:val="20"/>
                <w:szCs w:val="20"/>
                <w:lang w:val="ru-RU" w:eastAsia="ru-RU" w:bidi="ar-SA"/>
              </w:rPr>
              <w:t>6</w:t>
            </w:r>
            <w:r>
              <w:rPr>
                <w:bCs/>
              </w:rPr>
              <w:t>месяцев</w:t>
            </w:r>
          </w:p>
        </w:tc>
        <w:tc>
          <w:tcPr>
            <w:tcW w:w="164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220102</w:t>
            </w:r>
            <w:r>
              <w:rPr>
                <w:rFonts w:eastAsia="Times New Roman CYR"/>
                <w:bCs/>
              </w:rPr>
              <w:t>:</w:t>
            </w:r>
            <w:r>
              <w:rPr>
                <w:rFonts w:eastAsia="Times New Roman CYR" w:cs="Times New Roman"/>
                <w:bCs/>
                <w:color w:val="00000A"/>
                <w:kern w:val="0"/>
                <w:sz w:val="20"/>
                <w:szCs w:val="20"/>
                <w:lang w:val="ru-RU" w:eastAsia="ru-RU" w:bidi="ar-SA"/>
              </w:rPr>
              <w:t>357</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5141</w:t>
            </w:r>
          </w:p>
        </w:tc>
        <w:tc>
          <w:tcPr>
            <w:tcW w:w="130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1362,00</w:t>
            </w:r>
          </w:p>
          <w:p>
            <w:pPr>
              <w:pStyle w:val="Normal"/>
              <w:jc w:val="center"/>
              <w:rPr/>
            </w:pPr>
            <w:r>
              <w:rPr/>
              <w:t xml:space="preserve"> </w:t>
            </w:r>
            <w:r>
              <w:rPr/>
              <w:t>(о</w:t>
            </w:r>
            <w:r>
              <w:rPr>
                <w:rFonts w:eastAsia="Times New Roman" w:cs="Times New Roman"/>
                <w:color w:val="00000A"/>
                <w:kern w:val="0"/>
                <w:sz w:val="20"/>
                <w:szCs w:val="20"/>
                <w:lang w:val="ru-RU" w:eastAsia="ru-RU" w:bidi="ar-SA"/>
              </w:rPr>
              <w:t>дна тысяча триста шестьдесят два</w:t>
            </w:r>
            <w:r>
              <w:rPr/>
              <w:t>) рубл</w:t>
            </w:r>
            <w:r>
              <w:rPr>
                <w:rFonts w:eastAsia="Times New Roman" w:cs="Times New Roman"/>
                <w:color w:val="00000A"/>
                <w:kern w:val="0"/>
                <w:sz w:val="20"/>
                <w:szCs w:val="20"/>
                <w:lang w:val="ru-RU" w:eastAsia="ru-RU" w:bidi="ar-SA"/>
              </w:rPr>
              <w:t>я</w:t>
            </w:r>
            <w:r>
              <w:rPr/>
              <w:t xml:space="preserve"> 00 копеек</w:t>
            </w:r>
          </w:p>
        </w:tc>
        <w:tc>
          <w:tcPr>
            <w:tcW w:w="120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40,86</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(сорок рублей ) рублей 86</w:t>
            </w:r>
            <w:r>
              <w:rPr/>
              <w:t xml:space="preserve"> копеек</w:t>
            </w:r>
          </w:p>
        </w:tc>
        <w:tc>
          <w:tcPr>
            <w:tcW w:w="128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1362,00</w:t>
            </w:r>
          </w:p>
          <w:p>
            <w:pPr>
              <w:pStyle w:val="Normal"/>
              <w:jc w:val="center"/>
              <w:rPr/>
            </w:pPr>
            <w:r>
              <w:rPr/>
              <w:t xml:space="preserve"> </w:t>
            </w:r>
            <w:r>
              <w:rPr/>
              <w:t>(о</w:t>
            </w:r>
            <w:r>
              <w:rPr>
                <w:rFonts w:eastAsia="Times New Roman" w:cs="Times New Roman"/>
                <w:color w:val="00000A"/>
                <w:kern w:val="0"/>
                <w:sz w:val="20"/>
                <w:szCs w:val="20"/>
                <w:lang w:val="ru-RU" w:eastAsia="ru-RU" w:bidi="ar-SA"/>
              </w:rPr>
              <w:t>дна тысяча триста шестьдесят два</w:t>
            </w:r>
            <w:r>
              <w:rPr/>
              <w:t>) рубл</w:t>
            </w:r>
            <w:r>
              <w:rPr>
                <w:rFonts w:eastAsia="Times New Roman" w:cs="Times New Roman"/>
                <w:color w:val="00000A"/>
                <w:kern w:val="0"/>
                <w:sz w:val="20"/>
                <w:szCs w:val="20"/>
                <w:lang w:val="ru-RU" w:eastAsia="ru-RU" w:bidi="ar-SA"/>
              </w:rPr>
              <w:t>я</w:t>
            </w:r>
            <w:r>
              <w:rPr/>
              <w:t xml:space="preserve"> 00 копеек</w:t>
            </w:r>
          </w:p>
        </w:tc>
      </w:tr>
    </w:tbl>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Согласно письма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0,4</w:t>
      </w:r>
      <w:r>
        <w:rPr>
          <w:sz w:val="24"/>
          <w:szCs w:val="24"/>
        </w:rPr>
        <w:t>квВ КПТ №</w:t>
      </w:r>
      <w:r>
        <w:rPr>
          <w:rFonts w:eastAsia="Times New Roman" w:cs="Times New Roman"/>
          <w:color w:val="00000A"/>
          <w:kern w:val="0"/>
          <w:sz w:val="24"/>
          <w:szCs w:val="24"/>
          <w:lang w:val="ru-RU" w:eastAsia="ru-RU" w:bidi="ar-SA"/>
        </w:rPr>
        <w:t>629</w:t>
      </w:r>
      <w:r>
        <w:rPr>
          <w:sz w:val="24"/>
          <w:szCs w:val="24"/>
        </w:rPr>
        <w:t>, ВЛ-</w:t>
      </w:r>
      <w:r>
        <w:rPr>
          <w:rFonts w:eastAsia="Times New Roman" w:cs="Times New Roman"/>
          <w:color w:val="00000A"/>
          <w:kern w:val="0"/>
          <w:sz w:val="24"/>
          <w:szCs w:val="24"/>
          <w:lang w:val="ru-RU" w:eastAsia="ru-RU" w:bidi="ar-SA"/>
        </w:rPr>
        <w:t>1002,</w:t>
      </w:r>
      <w:r>
        <w:rPr>
          <w:sz w:val="24"/>
          <w:szCs w:val="24"/>
        </w:rPr>
        <w:t xml:space="preserve"> ПС</w:t>
      </w:r>
      <w:r>
        <w:rPr>
          <w:rFonts w:eastAsia="Times New Roman" w:cs="Times New Roman"/>
          <w:color w:val="00000A"/>
          <w:kern w:val="0"/>
          <w:sz w:val="24"/>
          <w:szCs w:val="24"/>
          <w:lang w:val="ru-RU" w:eastAsia="ru-RU" w:bidi="ar-SA"/>
        </w:rPr>
        <w:t>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тва РФ от 27.12.2004г №861). Сроки действия технических условий по договору ТП-4года.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53/10 от 28.12.2021г.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Согласно письма Филиала 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pPr>
      <w:r>
        <w:rPr>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pPr>
      <w:r>
        <w:rPr>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pPr>
      <w:r>
        <w:rPr>
          <w:sz w:val="24"/>
          <w:szCs w:val="24"/>
        </w:rPr>
        <w:t>Дополнительные сведения:</w:t>
      </w:r>
    </w:p>
    <w:p>
      <w:pPr>
        <w:pStyle w:val="Normal"/>
        <w:widowControl/>
        <w:suppressAutoHyphens w:val="true"/>
        <w:bidi w:val="0"/>
        <w:spacing w:before="0" w:after="0"/>
        <w:ind w:left="0" w:right="0"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1" w:name="__DdeLink__53361_2653030480"/>
      <w:r>
        <w:rPr>
          <w:b/>
          <w:bCs/>
          <w:sz w:val="24"/>
          <w:szCs w:val="24"/>
        </w:rPr>
        <w:t>3)</w:t>
      </w:r>
      <w:r>
        <w:rPr>
          <w:sz w:val="24"/>
          <w:szCs w:val="24"/>
        </w:rPr>
        <w:t xml:space="preserve"> Согласно письма ГУП </w:t>
      </w:r>
      <w:r>
        <w:rPr>
          <w:sz w:val="24"/>
          <w:szCs w:val="24"/>
        </w:rPr>
        <w:t xml:space="preserve">СО </w:t>
      </w:r>
      <w:r>
        <w:rPr>
          <w:sz w:val="24"/>
          <w:szCs w:val="24"/>
        </w:rPr>
        <w:t xml:space="preserve">«Облводоресурс»-«Ивантеевский», </w:t>
      </w:r>
      <w:bookmarkEnd w:id="1"/>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водоснабженияотсутстует.</w:t>
      </w:r>
    </w:p>
    <w:p>
      <w:pPr>
        <w:pStyle w:val="Normal"/>
        <w:widowControl/>
        <w:suppressAutoHyphens w:val="true"/>
        <w:bidi w:val="0"/>
        <w:spacing w:before="0" w:after="0"/>
        <w:ind w:left="0" w:right="0" w:firstLine="567"/>
        <w:jc w:val="both"/>
        <w:rPr/>
      </w:pPr>
      <w:r>
        <w:rPr>
          <w:rFonts w:eastAsia="Times New Roman" w:cs="Times New Roman"/>
          <w:i w:val="false"/>
          <w:iCs w:val="false"/>
          <w:color w:val="00000A"/>
          <w:kern w:val="0"/>
          <w:sz w:val="24"/>
          <w:szCs w:val="24"/>
          <w:lang w:val="ru-RU" w:eastAsia="ru-RU" w:bidi="ar-SA"/>
        </w:rPr>
        <w:t>Объект не может быть подключен к сетям центрального водопровода филиала ГУП СО «Облводоресурс»-«Ивантеевский» от ул.70лет Октября.</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00000A"/>
          <w:kern w:val="0"/>
          <w:sz w:val="24"/>
          <w:szCs w:val="24"/>
          <w:lang w:val="ru-RU" w:eastAsia="ru-RU" w:bidi="ar-SA"/>
        </w:rPr>
        <w:t>.</w:t>
      </w:r>
    </w:p>
    <w:p>
      <w:pPr>
        <w:pStyle w:val="Normal"/>
        <w:widowControl/>
        <w:suppressAutoHyphens w:val="true"/>
        <w:bidi w:val="0"/>
        <w:spacing w:before="0" w:after="0"/>
        <w:ind w:left="0" w:right="0" w:firstLine="567"/>
        <w:jc w:val="both"/>
        <w:rPr>
          <w:color w:val="000000"/>
        </w:rPr>
      </w:pPr>
      <w:r>
        <w:rPr>
          <w:rFonts w:eastAsia="Times New Roman" w:cs="Times New Roman"/>
          <w:b/>
          <w:bCs/>
          <w:i w:val="false"/>
          <w:iCs w:val="false"/>
          <w:color w:val="000000"/>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03.08</w:t>
      </w:r>
      <w:r>
        <w:rPr>
          <w:rFonts w:eastAsia="Times New Roman" w:cs="Times New Roman"/>
          <w:b w:val="false"/>
          <w:bCs w:val="false"/>
          <w:i w:val="false"/>
          <w:iCs w:val="false"/>
          <w:color w:val="000000"/>
          <w:kern w:val="0"/>
          <w:sz w:val="24"/>
          <w:szCs w:val="24"/>
          <w:lang w:val="ru-RU" w:eastAsia="ru-RU" w:bidi="ar-SA"/>
        </w:rPr>
        <w:t>.2023г с 09.00 по местному времени (08.00МСК)</w:t>
      </w:r>
    </w:p>
    <w:p>
      <w:pPr>
        <w:pStyle w:val="Normal"/>
        <w:widowControl/>
        <w:suppressAutoHyphens w:val="true"/>
        <w:bidi w:val="0"/>
        <w:spacing w:before="0" w:after="0"/>
        <w:ind w:left="0" w:right="0" w:firstLine="567"/>
        <w:jc w:val="both"/>
        <w:rPr>
          <w:color w:val="000000"/>
        </w:rPr>
      </w:pPr>
      <w:r>
        <w:rPr>
          <w:rFonts w:eastAsia="Times New Roman" w:cs="Times New Roman"/>
          <w:b/>
          <w:bCs/>
          <w:i w:val="false"/>
          <w:iCs w:val="false"/>
          <w:color w:val="000000"/>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29.08.202</w:t>
      </w:r>
      <w:r>
        <w:rPr>
          <w:rFonts w:eastAsia="Times New Roman" w:cs="Times New Roman"/>
          <w:b w:val="false"/>
          <w:bCs w:val="false"/>
          <w:i w:val="false"/>
          <w:iCs w:val="false"/>
          <w:color w:val="000000"/>
          <w:kern w:val="0"/>
          <w:sz w:val="24"/>
          <w:szCs w:val="24"/>
          <w:lang w:val="ru-RU" w:eastAsia="ru-RU" w:bidi="ar-SA"/>
        </w:rPr>
        <w:t>3г до 1</w:t>
      </w:r>
      <w:r>
        <w:rPr>
          <w:rFonts w:eastAsia="Times New Roman" w:cs="Times New Roman"/>
          <w:b w:val="false"/>
          <w:bCs w:val="false"/>
          <w:i w:val="false"/>
          <w:iCs w:val="false"/>
          <w:color w:val="000000"/>
          <w:kern w:val="0"/>
          <w:sz w:val="24"/>
          <w:szCs w:val="24"/>
          <w:lang w:val="ru-RU" w:eastAsia="ru-RU" w:bidi="ar-SA"/>
        </w:rPr>
        <w:t>7</w:t>
      </w:r>
      <w:r>
        <w:rPr>
          <w:rFonts w:eastAsia="Times New Roman" w:cs="Times New Roman"/>
          <w:b w:val="false"/>
          <w:bCs w:val="false"/>
          <w:i w:val="false"/>
          <w:iCs w:val="false"/>
          <w:color w:val="000000"/>
          <w:kern w:val="0"/>
          <w:sz w:val="24"/>
          <w:szCs w:val="24"/>
          <w:lang w:val="ru-RU" w:eastAsia="ru-RU" w:bidi="ar-SA"/>
        </w:rPr>
        <w:t>.00 по местному времени (1</w:t>
      </w:r>
      <w:r>
        <w:rPr>
          <w:rFonts w:eastAsia="Times New Roman" w:cs="Times New Roman"/>
          <w:b w:val="false"/>
          <w:bCs w:val="false"/>
          <w:i w:val="false"/>
          <w:iCs w:val="false"/>
          <w:color w:val="000000"/>
          <w:kern w:val="0"/>
          <w:sz w:val="24"/>
          <w:szCs w:val="24"/>
          <w:lang w:val="ru-RU" w:eastAsia="ru-RU" w:bidi="ar-SA"/>
        </w:rPr>
        <w:t>6</w:t>
      </w:r>
      <w:r>
        <w:rPr>
          <w:rFonts w:eastAsia="Times New Roman" w:cs="Times New Roman"/>
          <w:b w:val="false"/>
          <w:bCs w:val="false"/>
          <w:i w:val="false"/>
          <w:iCs w:val="false"/>
          <w:color w:val="000000"/>
          <w:kern w:val="0"/>
          <w:sz w:val="24"/>
          <w:szCs w:val="24"/>
          <w:lang w:val="ru-RU" w:eastAsia="ru-RU" w:bidi="ar-SA"/>
        </w:rPr>
        <w:t>.00 МСК)</w:t>
      </w:r>
    </w:p>
    <w:p>
      <w:pPr>
        <w:pStyle w:val="Normal"/>
        <w:widowControl/>
        <w:suppressAutoHyphens w:val="true"/>
        <w:bidi w:val="0"/>
        <w:spacing w:before="0" w:after="0"/>
        <w:ind w:left="0" w:right="0" w:firstLine="567"/>
        <w:jc w:val="both"/>
        <w:rPr>
          <w:color w:val="000000"/>
        </w:rPr>
      </w:pPr>
      <w:r>
        <w:rPr>
          <w:rFonts w:eastAsia="Times New Roman" w:cs="Times New Roman"/>
          <w:b/>
          <w:bCs/>
          <w:i w:val="false"/>
          <w:iCs w:val="false"/>
          <w:color w:val="000000"/>
          <w:kern w:val="0"/>
          <w:sz w:val="24"/>
          <w:szCs w:val="24"/>
          <w:lang w:val="ru-RU" w:eastAsia="ru-RU" w:bidi="ar-SA"/>
        </w:rPr>
        <w:t>Дата и время рассмотрения заявок:</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30.08</w:t>
      </w:r>
      <w:r>
        <w:rPr>
          <w:rFonts w:eastAsia="Times New Roman" w:cs="Times New Roman"/>
          <w:b w:val="false"/>
          <w:bCs w:val="false"/>
          <w:i w:val="false"/>
          <w:iCs w:val="false"/>
          <w:color w:val="000000"/>
          <w:kern w:val="0"/>
          <w:sz w:val="24"/>
          <w:szCs w:val="24"/>
          <w:lang w:val="ru-RU" w:eastAsia="ru-RU" w:bidi="ar-SA"/>
        </w:rPr>
        <w:t xml:space="preserve">.20253г в </w:t>
      </w:r>
      <w:r>
        <w:rPr>
          <w:rFonts w:eastAsia="Times New Roman" w:cs="Times New Roman"/>
          <w:b w:val="false"/>
          <w:bCs w:val="false"/>
          <w:i w:val="false"/>
          <w:iCs w:val="false"/>
          <w:color w:val="000000"/>
          <w:kern w:val="0"/>
          <w:sz w:val="24"/>
          <w:szCs w:val="24"/>
          <w:lang w:val="ru-RU" w:eastAsia="ru-RU" w:bidi="ar-SA"/>
        </w:rPr>
        <w:t>09.</w:t>
      </w:r>
      <w:r>
        <w:rPr>
          <w:rFonts w:eastAsia="Times New Roman" w:cs="Times New Roman"/>
          <w:b w:val="false"/>
          <w:bCs w:val="false"/>
          <w:i w:val="false"/>
          <w:iCs w:val="false"/>
          <w:color w:val="000000"/>
          <w:kern w:val="0"/>
          <w:sz w:val="24"/>
          <w:szCs w:val="24"/>
          <w:lang w:val="ru-RU" w:eastAsia="ru-RU" w:bidi="ar-SA"/>
        </w:rPr>
        <w:t>00 по местному времени (0</w:t>
      </w:r>
      <w:r>
        <w:rPr>
          <w:rFonts w:eastAsia="Times New Roman" w:cs="Times New Roman"/>
          <w:b w:val="false"/>
          <w:bCs w:val="false"/>
          <w:i w:val="false"/>
          <w:iCs w:val="false"/>
          <w:color w:val="000000"/>
          <w:kern w:val="0"/>
          <w:sz w:val="24"/>
          <w:szCs w:val="24"/>
          <w:lang w:val="ru-RU" w:eastAsia="ru-RU" w:bidi="ar-SA"/>
        </w:rPr>
        <w:t>8</w:t>
      </w:r>
      <w:r>
        <w:rPr>
          <w:rFonts w:eastAsia="Times New Roman" w:cs="Times New Roman"/>
          <w:b w:val="false"/>
          <w:bCs w:val="false"/>
          <w:i w:val="false"/>
          <w:iCs w:val="false"/>
          <w:color w:val="000000"/>
          <w:kern w:val="0"/>
          <w:sz w:val="24"/>
          <w:szCs w:val="24"/>
          <w:lang w:val="ru-RU" w:eastAsia="ru-RU" w:bidi="ar-SA"/>
        </w:rPr>
        <w:t>.00 МСК)</w:t>
      </w:r>
    </w:p>
    <w:p>
      <w:pPr>
        <w:pStyle w:val="Normal"/>
        <w:widowControl/>
        <w:suppressAutoHyphens w:val="true"/>
        <w:bidi w:val="0"/>
        <w:spacing w:before="0" w:after="0"/>
        <w:ind w:left="0" w:right="0" w:firstLine="567"/>
        <w:jc w:val="both"/>
        <w:rPr>
          <w:color w:val="000000"/>
        </w:rPr>
      </w:pPr>
      <w:r>
        <w:rPr>
          <w:rFonts w:eastAsia="Times New Roman" w:cs="Times New Roman"/>
          <w:b/>
          <w:bCs/>
          <w:i w:val="false"/>
          <w:iCs w:val="false"/>
          <w:color w:val="000000"/>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000000"/>
          <w:kern w:val="0"/>
          <w:sz w:val="24"/>
          <w:szCs w:val="24"/>
          <w:lang w:val="ru-RU" w:eastAsia="ru-RU" w:bidi="ar-SA"/>
        </w:rPr>
        <w:t>04.09</w:t>
      </w:r>
      <w:r>
        <w:rPr>
          <w:rFonts w:eastAsia="Times New Roman" w:cs="Times New Roman"/>
          <w:b w:val="false"/>
          <w:bCs w:val="false"/>
          <w:i w:val="false"/>
          <w:iCs w:val="false"/>
          <w:color w:val="000000"/>
          <w:kern w:val="0"/>
          <w:sz w:val="24"/>
          <w:szCs w:val="24"/>
          <w:lang w:val="ru-RU" w:eastAsia="ru-RU" w:bidi="ar-SA"/>
        </w:rPr>
        <w:t>.2023г.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Участники аукциона вносят задаток в размере 100%  начальной  цены предмета аукциона на право заключения договоров аренды земельн</w:t>
      </w:r>
      <w:r>
        <w:rPr>
          <w:rFonts w:eastAsia="Times New Roman" w:cs="Times New Roman"/>
          <w:b w:val="false"/>
          <w:bCs w:val="false"/>
          <w:i w:val="false"/>
          <w:iCs w:val="false"/>
          <w:color w:val="00000A"/>
          <w:kern w:val="0"/>
          <w:sz w:val="24"/>
          <w:szCs w:val="24"/>
          <w:highlight w:val="white"/>
          <w:lang w:val="ru-RU" w:eastAsia="en-US" w:bidi="ar-SA"/>
        </w:rPr>
        <w:t>ого</w:t>
      </w:r>
      <w:r>
        <w:rPr>
          <w:rFonts w:eastAsia="Times New Roman" w:cs="Times New Roman"/>
          <w:b w:val="false"/>
          <w:bCs w:val="false"/>
          <w:i w:val="false"/>
          <w:iCs w:val="false"/>
          <w:color w:val="00000A"/>
          <w:kern w:val="0"/>
          <w:sz w:val="24"/>
          <w:szCs w:val="24"/>
          <w:highlight w:val="white"/>
          <w:lang w:val="ru-RU" w:eastAsia="en-US" w:bidi="ar-SA"/>
        </w:rPr>
        <w:t xml:space="preserve"> участк</w:t>
      </w:r>
      <w:r>
        <w:rPr>
          <w:rFonts w:eastAsia="Times New Roman" w:cs="Times New Roman"/>
          <w:b w:val="false"/>
          <w:bCs w:val="false"/>
          <w:i w:val="false"/>
          <w:iCs w:val="false"/>
          <w:color w:val="00000A"/>
          <w:kern w:val="0"/>
          <w:sz w:val="24"/>
          <w:szCs w:val="24"/>
          <w:highlight w:val="white"/>
          <w:lang w:val="ru-RU" w:eastAsia="en-US" w:bidi="ar-SA"/>
        </w:rPr>
        <w:t>а</w:t>
      </w:r>
      <w:r>
        <w:rPr>
          <w:rFonts w:eastAsia="Times New Roman" w:cs="Times New Roman"/>
          <w:b w:val="false"/>
          <w:bCs w:val="false"/>
          <w:i w:val="false"/>
          <w:iCs w:val="false"/>
          <w:color w:val="00000A"/>
          <w:kern w:val="0"/>
          <w:sz w:val="24"/>
          <w:szCs w:val="24"/>
          <w:highlight w:val="white"/>
          <w:lang w:val="ru-RU" w:eastAsia="en-US" w:bidi="ar-SA"/>
        </w:rPr>
        <w:t xml:space="preserve">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 xml:space="preserve">: </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редседател</w:t>
      </w:r>
      <w:r>
        <w:rPr>
          <w:rFonts w:eastAsia="Times New Roman" w:cs="Times New Roman"/>
          <w:b/>
          <w:bCs/>
          <w:color w:val="000000"/>
          <w:kern w:val="0"/>
          <w:sz w:val="24"/>
          <w:szCs w:val="24"/>
          <w:lang w:val="ru-RU" w:eastAsia="ru-RU" w:bidi="ar-SA"/>
        </w:rPr>
        <w:t>я</w:t>
      </w:r>
      <w:r>
        <w:rPr>
          <w:b/>
          <w:bCs/>
          <w:color w:val="000000"/>
          <w:sz w:val="24"/>
          <w:szCs w:val="24"/>
        </w:rPr>
        <w:t xml:space="preserve"> аукционной комиссии                  </w:t>
        <w:tab/>
        <w:t xml:space="preserve">                           </w:t>
      </w:r>
      <w:r>
        <w:rPr>
          <w:rFonts w:eastAsia="Times New Roman" w:cs="Times New Roman"/>
          <w:b/>
          <w:bCs/>
          <w:color w:val="000000"/>
          <w:kern w:val="0"/>
          <w:sz w:val="24"/>
          <w:szCs w:val="24"/>
          <w:lang w:val="ru-RU" w:eastAsia="ru-RU" w:bidi="ar-SA"/>
        </w:rPr>
        <w:t>В.А. Болмосов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2" w:name="_GoBack"/>
      <w:bookmarkStart w:id="3" w:name="_GoBack"/>
      <w:bookmarkEnd w:id="3"/>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4" w:name="Par54"/>
      <w:bookmarkEnd w:id="4"/>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Application>LibreOffice/6.3.4.2$Windows_x86 LibreOffice_project/60da17e045e08f1793c57c00ba83cdfce946d0aa</Application>
  <Pages>13</Pages>
  <Words>4544</Words>
  <Characters>35083</Characters>
  <CharactersWithSpaces>40692</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2023-06-06T08:36:30Z</cp:lastPrinted>
  <dcterms:modified xsi:type="dcterms:W3CDTF">2023-08-02T13:34:18Z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