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8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9.jpeg" ContentType="image/jpeg"/>
  <Override PartName="/word/media/image10.jpeg" ContentType="image/jpeg"/>
  <Override PartName="/word/media/image18.emf" ContentType="image/x-emf"/>
  <Override PartName="/word/media/image11.jpeg" ContentType="image/jpeg"/>
  <Override PartName="/word/media/image12.emf" ContentType="image/x-emf"/>
  <Override PartName="/word/media/image13.jpeg" ContentType="image/jpeg"/>
  <Override PartName="/word/media/image14.emf" ContentType="image/x-emf"/>
  <Override PartName="/word/media/image15.emf" ContentType="image/x-emf"/>
  <Override PartName="/word/media/image16.emf" ContentType="image/x-emf"/>
  <Override PartName="/word/media/image17.emf" ContentType="image/x-emf"/>
  <Override PartName="/word/media/image19.jpeg" ContentType="image/jpeg"/>
  <Override PartName="/word/fontTable.xml" ContentType="application/vnd.openxmlformats-officedocument.wordprocessingml.fontTab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_rels/chart1.xml.rels" ContentType="application/vnd.openxmlformats-package.relationships+xml"/>
  <Override PartName="/word/charts/_rels/chart2.xml.rels" ContentType="application/vnd.openxmlformats-package.relationships+xml"/>
  <Override PartName="/word/charts/_rels/chart3.xml.rels" ContentType="application/vnd.openxmlformats-package.relationships+xml"/>
  <Override PartName="/word/charts/_rels/chart4.xml.rels" ContentType="application/vnd.openxmlformats-package.relationship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_____Microsoft_Office_Excel4.xlsx" ContentType="application/vnd.openxmlformats-officedocument.spreadsheetml.shee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_____Microsoft_Office_Excel3.xlsx" ContentType="application/vnd.openxmlformats-officedocument.spreadsheetml.shee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_____Microsoft_Office_Excel2.xlsx" ContentType="application/vnd.openxmlformats-officedocument.spreadsheetml.sheet"/>
  <Override PartName="/word/embeddings/_____Microsoft_Office_Excel1.xlsx" ContentType="application/vnd.openxmlformats-officedocument.spreadsheetml.sheet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EAF1DD"/>
  <w:body>
    <w:p>
      <w:pPr>
        <w:pStyle w:val="Normal"/>
        <w:spacing w:lineRule="auto" w:line="24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DF680F"/>
          <w:sz w:val="72"/>
          <w:szCs w:val="72"/>
        </w:rPr>
      </w:pPr>
      <w:r>
        <w:rPr>
          <w:rFonts w:ascii="Times New Roman" w:hAnsi="Times New Roman"/>
          <w:b/>
          <w:color w:val="DF680F"/>
          <w:sz w:val="72"/>
          <w:szCs w:val="72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Calibri"/>
          <w:b/>
          <w:b/>
          <w:sz w:val="28"/>
          <w:szCs w:val="28"/>
        </w:rPr>
      </w:pPr>
      <w:r>
        <w:rPr>
          <w:rFonts w:cs="Calibri" w:ascii="Times New Roman" w:hAnsi="Times New Roman"/>
          <w:b/>
          <w:sz w:val="28"/>
          <w:szCs w:val="28"/>
        </w:rPr>
      </w:r>
      <w:r>
        <mc:AlternateContent>
          <mc:Choice Requires="wps">
            <w:drawing>
              <wp:anchor behindDoc="0" distT="0" distB="-41577260" distL="114300" distR="-41462960" simplePos="0" locked="0" layoutInCell="1" allowOverlap="1" relativeHeight="4">
                <wp:simplePos x="0" y="0"/>
                <wp:positionH relativeFrom="column">
                  <wp:posOffset>-652780</wp:posOffset>
                </wp:positionH>
                <wp:positionV relativeFrom="paragraph">
                  <wp:posOffset>67945</wp:posOffset>
                </wp:positionV>
                <wp:extent cx="7075170" cy="1882140"/>
                <wp:effectExtent l="0" t="0" r="41577260" b="4157726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1882140"/>
                        </a:xfrm>
                        <a:prstGeom prst="rect"/>
                        <a:gradFill>
                          <a:gsLst>
                            <a:gs pos="0">
                              <a:srgbClr val="95b3d7"/>
                            </a:gs>
                            <a:gs pos="100000">
                              <a:srgbClr val="dce6f2"/>
                            </a:gs>
                          </a:gsLst>
                          <a:lin ang="5400000"/>
                        </a:gradFill>
                        <a:ln w="635">
                          <a:solidFill>
                            <a:srgbClr val="376092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17365D" w:themeColor="text2" w:themeShade="bf"/>
                                <w:sz w:val="9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96"/>
                                <w:szCs w:val="56"/>
                              </w:rPr>
                              <w:t>Бюджет для граждан</w:t>
                            </w:r>
                          </w:p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376092" strokeweight="0pt" fillcolor="#95B3D7" style="position:absolute;rotation:0;width:557.1pt;height:148.2pt;mso-wrap-distance-left:9pt;mso-wrap-distance-right:9pt;mso-wrap-distance-top:0pt;mso-wrap-distance-bottom:0pt;margin-top:5.35pt;mso-position-vertical-relative:text;margin-left:-51.4pt;mso-position-horizontal-relative:text">
                <v:shadow on="t" color="#000000" offset="3273.8pt,3273.8pt"/>
                <v:fill type="gradient" angle="-180" color2="#DCE6F2"/>
                <v:textbox>
                  <w:txbxContent>
                    <w:p>
                      <w:pPr>
                        <w:pStyle w:val="Style20"/>
                        <w:spacing w:lineRule="auto" w:line="240"/>
                        <w:jc w:val="center"/>
                        <w:rPr>
                          <w:rFonts w:ascii="Times New Roman" w:hAnsi="Times New Roman"/>
                          <w:b/>
                          <w:b/>
                          <w:color w:val="17365D" w:themeColor="text2" w:themeShade="bf"/>
                          <w:sz w:val="9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96"/>
                          <w:szCs w:val="56"/>
                        </w:rPr>
                        <w:t>Бюджет для граждан</w:t>
                      </w:r>
                    </w:p>
                    <w:p>
                      <w:pPr>
                        <w:pStyle w:val="Style20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/>
      </w:r>
      <w:r>
        <mc:AlternateContent>
          <mc:Choice Requires="wps">
            <w:drawing>
              <wp:inline distT="0" distB="0" distL="114300" distR="114300">
                <wp:extent cx="9035415" cy="272415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5415" cy="2724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d="f" strokeweight="0pt" style="position:absolute;rotation:0;width:711.45pt;height:21.45pt;mso-wrap-distance-left:9pt;mso-wrap-distance-right:9pt;mso-wrap-distance-top:0pt;mso-wrap-distance-bottom:0pt;margin-top:0pt;mso-position-vertical-relative:text;margin-left:0pt;mso-position-horizontal-relative:text"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>
        <mc:AlternateContent>
          <mc:Choice Requires="wps">
            <w:drawing>
              <wp:anchor behindDoc="0" distT="0" distB="-41577260" distL="114300" distR="-41462960" simplePos="0" locked="0" layoutInCell="1" allowOverlap="1" relativeHeight="3">
                <wp:simplePos x="0" y="0"/>
                <wp:positionH relativeFrom="column">
                  <wp:posOffset>-176530</wp:posOffset>
                </wp:positionH>
                <wp:positionV relativeFrom="paragraph">
                  <wp:posOffset>236855</wp:posOffset>
                </wp:positionV>
                <wp:extent cx="6381750" cy="1543050"/>
                <wp:effectExtent l="0" t="0" r="41577260" b="4157726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543050"/>
                        </a:xfrm>
                        <a:prstGeom prst="rect"/>
                        <a:solidFill>
                          <a:srgbClr val="F2DBDB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к решению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№8 от 24.05.2023года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 «Об утверждении отчета об исполнении бюджета Знаменского муниципального образования за 2022 год»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2DBDB" strokecolor="#365F91" strokeweight="0pt" style="position:absolute;rotation:0;width:502.5pt;height:121.5pt;mso-wrap-distance-left:9pt;mso-wrap-distance-right:9pt;mso-wrap-distance-top:0pt;mso-wrap-distance-bottom:0pt;margin-top:18.65pt;mso-position-vertical-relative:text;margin-left:-13.9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к решению 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№8 от 24.05.2023года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  «Об утверждении отчета об исполнении бюджета Знаменского муниципального образования за 2022 год»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-41577260" distL="114300" distR="-41462960" simplePos="0" locked="0" layoutInCell="1" allowOverlap="1" relativeHeight="5">
                <wp:simplePos x="0" y="0"/>
                <wp:positionH relativeFrom="column">
                  <wp:posOffset>899795</wp:posOffset>
                </wp:positionH>
                <wp:positionV relativeFrom="paragraph">
                  <wp:posOffset>2689225</wp:posOffset>
                </wp:positionV>
                <wp:extent cx="4124325" cy="3362325"/>
                <wp:effectExtent l="0" t="0" r="41577260" b="4157726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362325"/>
                        </a:xfrm>
                        <a:prstGeom prst="rect"/>
                        <a:solidFill>
                          <a:srgbClr val="F2DBDB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rPr/>
                            </w:pPr>
                            <w:r>
                              <w:rPr/>
                              <w:drawing>
                                <wp:inline distT="0" distB="0" distL="19050" distR="5715">
                                  <wp:extent cx="3613785" cy="2501265"/>
                                  <wp:effectExtent l="0" t="0" r="0" b="0"/>
                                  <wp:docPr id="5" name="Рисунок 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3785" cy="250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2DBDB" strokecolor="#365F91" strokeweight="0pt" style="position:absolute;rotation:0;width:324.75pt;height:264.75pt;mso-wrap-distance-left:9pt;mso-wrap-distance-right:9pt;mso-wrap-distance-top:0pt;mso-wrap-distance-bottom:0pt;margin-top:211.75pt;mso-position-vertical-relative:text;margin-left:70.85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rPr/>
                      </w:pPr>
                      <w:r>
                        <w:rPr/>
                        <w:drawing>
                          <wp:inline distT="0" distB="0" distL="19050" distR="5715">
                            <wp:extent cx="3613785" cy="2501265"/>
                            <wp:effectExtent l="0" t="0" r="0" b="0"/>
                            <wp:docPr id="6" name="Рисунок 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3785" cy="2501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жители Знаменского муниципального образования.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Знаменского муниципального образования.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0"/>
          <w:szCs w:val="30"/>
        </w:rPr>
      </w:pPr>
      <w:r>
        <w:rPr/>
        <w:drawing>
          <wp:inline distT="0" distB="0" distL="19050" distR="5715">
            <wp:extent cx="6299835" cy="2891790"/>
            <wp:effectExtent l="0" t="0" r="0" b="0"/>
            <wp:docPr id="7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Что такое бюджет?</w:t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19050" distR="0">
            <wp:extent cx="6267450" cy="3854450"/>
            <wp:effectExtent l="0" t="0" r="0" b="0"/>
            <wp:docPr id="8" name="Изображение1" descr="C:\Users\Ольг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" descr="C:\Users\Ольга\Desktop\img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Исполнение бюджета Знаменского муниципального образования за 2022 год</w:t>
      </w:r>
    </w:p>
    <w:p>
      <w:pPr>
        <w:pStyle w:val="Normal"/>
        <w:spacing w:lineRule="auto" w:line="240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тыс.руб.</w:t>
      </w:r>
    </w:p>
    <w:tbl>
      <w:tblPr>
        <w:tblW w:w="10031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5636"/>
        <w:gridCol w:w="2125"/>
        <w:gridCol w:w="2270"/>
      </w:tblGrid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года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года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8867,6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9536,8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3875,2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4544,4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4992,4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4992,4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12241,5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12206,7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3001,2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2998,6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3381,9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3349,7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263,6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263,6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5364,0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5364,0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228,3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228,3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-3373,9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-2669,9</w:t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Зачем нужны бюджеты?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404040"/>
          <w:sz w:val="32"/>
          <w:szCs w:val="32"/>
        </w:rPr>
      </w:pP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Ос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9"/>
          <w:position w:val="0"/>
          <w:sz w:val="32"/>
          <w:szCs w:val="32"/>
        </w:rPr>
        <w:t>о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в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ы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 xml:space="preserve">е </w:t>
      </w:r>
      <w:r>
        <w:rPr>
          <w:rFonts w:ascii="Times New Roman" w:hAnsi="Times New Roman"/>
          <w:b/>
          <w:bCs/>
          <w:color w:val="404040"/>
          <w:spacing w:val="-4"/>
          <w:position w:val="0"/>
          <w:sz w:val="32"/>
          <w:szCs w:val="32"/>
        </w:rPr>
        <w:t>х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ар</w:t>
      </w:r>
      <w:r>
        <w:rPr>
          <w:rFonts w:ascii="Times New Roman" w:hAnsi="Times New Roman"/>
          <w:b/>
          <w:bCs/>
          <w:color w:val="404040"/>
          <w:spacing w:val="2"/>
          <w:position w:val="0"/>
          <w:sz w:val="32"/>
          <w:szCs w:val="32"/>
        </w:rPr>
        <w:t>а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ер</w:t>
      </w:r>
      <w:r>
        <w:rPr>
          <w:rFonts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с</w:t>
      </w:r>
      <w:r>
        <w:rPr>
          <w:rFonts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и б</w:t>
      </w:r>
      <w:r>
        <w:rPr>
          <w:rFonts w:ascii="Times New Roman" w:hAnsi="Times New Roman"/>
          <w:b/>
          <w:bCs/>
          <w:color w:val="404040"/>
          <w:spacing w:val="-22"/>
          <w:position w:val="0"/>
          <w:sz w:val="32"/>
          <w:szCs w:val="32"/>
        </w:rPr>
        <w:t>ю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д</w:t>
      </w:r>
      <w:r>
        <w:rPr>
          <w:rFonts w:ascii="Times New Roman" w:hAnsi="Times New Roman"/>
          <w:b/>
          <w:bCs/>
          <w:color w:val="404040"/>
          <w:spacing w:val="-5"/>
          <w:position w:val="0"/>
          <w:sz w:val="32"/>
          <w:szCs w:val="32"/>
        </w:rPr>
        <w:t>ж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8"/>
          <w:position w:val="0"/>
          <w:sz w:val="32"/>
          <w:szCs w:val="32"/>
        </w:rPr>
        <w:t>та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</w:r>
    </w:p>
    <w:tbl>
      <w:tblPr>
        <w:tblStyle w:val="a6"/>
        <w:tblW w:w="9887" w:type="dxa"/>
        <w:jc w:val="left"/>
        <w:tblInd w:w="250" w:type="dxa"/>
        <w:tblCellMar>
          <w:top w:w="0" w:type="dxa"/>
          <w:left w:w="98" w:type="dxa"/>
          <w:bottom w:w="0" w:type="dxa"/>
          <w:right w:w="108" w:type="dxa"/>
        </w:tblCellMar>
        <w:tblLook w:val="04a0"/>
      </w:tblPr>
      <w:tblGrid>
        <w:gridCol w:w="3329"/>
        <w:gridCol w:w="3158"/>
        <w:gridCol w:w="3400"/>
      </w:tblGrid>
      <w:tr>
        <w:trPr/>
        <w:tc>
          <w:tcPr>
            <w:tcW w:w="9887" w:type="dxa"/>
            <w:gridSpan w:val="3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76923C" w:themeColor="accent3" w:themeShade="bf"/>
                <w:sz w:val="32"/>
              </w:rPr>
            </w:pPr>
            <w:r>
              <w:rPr>
                <w:rFonts w:eastAsia="Calibri" w:cs="Calibri"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>
        <w:trPr>
          <w:trHeight w:val="425" w:hRule="exact"/>
        </w:trPr>
        <w:tc>
          <w:tcPr>
            <w:tcW w:w="3329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15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color w:val="FFFFFF" w:themeColor="background1"/>
                <w:sz w:val="32"/>
                <w:szCs w:val="32"/>
              </w:rPr>
            </w:r>
          </w:p>
        </w:tc>
        <w:tc>
          <w:tcPr>
            <w:tcW w:w="340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color w:val="FFFFFF" w:themeColor="background1"/>
                <w:sz w:val="32"/>
                <w:szCs w:val="32"/>
              </w:rPr>
            </w:r>
          </w:p>
        </w:tc>
      </w:tr>
      <w:tr>
        <w:trPr>
          <w:trHeight w:val="2949" w:hRule="atLeast"/>
        </w:trPr>
        <w:tc>
          <w:tcPr>
            <w:tcW w:w="3329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 xml:space="preserve">- единый сельскохозяйственный налог, 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налог на имущество физических лиц,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земельный налог</w:t>
            </w:r>
          </w:p>
          <w:p>
            <w:pPr>
              <w:pStyle w:val="Normal"/>
              <w:spacing w:before="0" w:after="200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  <w:tc>
          <w:tcPr>
            <w:tcW w:w="315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40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дотации;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субсидии;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субвенции;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tbl>
      <w:tblPr>
        <w:tblStyle w:val="-3"/>
        <w:tblpPr w:bottomFromText="0" w:horzAnchor="margin" w:leftFromText="180" w:rightFromText="180" w:tblpX="250" w:tblpY="39" w:topFromText="0" w:vertAnchor="text"/>
        <w:tblW w:w="9921" w:type="dxa"/>
        <w:jc w:val="left"/>
        <w:tblInd w:w="108" w:type="dxa"/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9921"/>
      </w:tblGrid>
      <w:tr>
        <w:trPr>
          <w:cnfStyle w:val="100000000000"/>
        </w:trPr>
        <w:tc>
          <w:tcPr>
            <w:tcW w:w="9921" w:type="dxa"/>
            <w:cnfStyle w:val="001000000000"/>
            <w:tcBorders>
              <w:top w:val="single" w:sz="4" w:space="0" w:color="76923C"/>
              <w:left w:val="single" w:sz="4" w:space="0" w:color="76923C"/>
              <w:bottom w:val="single" w:sz="4" w:space="0" w:color="76923C"/>
              <w:insideH w:val="single" w:sz="4" w:space="0" w:color="76923C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 w:val="false"/>
                <w:b w:val="false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tbl>
      <w:tblPr>
        <w:tblStyle w:val="1-4"/>
        <w:tblpPr w:bottomFromText="0" w:horzAnchor="margin" w:leftFromText="180" w:rightFromText="180" w:tblpX="250" w:tblpY="2596" w:topFromText="0" w:vertAnchor="page"/>
        <w:tblW w:w="9921" w:type="dxa"/>
        <w:jc w:val="left"/>
        <w:tblInd w:w="108" w:type="dxa"/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2942"/>
        <w:gridCol w:w="3401"/>
        <w:gridCol w:w="3578"/>
      </w:tblGrid>
      <w:tr>
        <w:trPr>
          <w:cnfStyle w:val="100000000000"/>
        </w:trPr>
        <w:tc>
          <w:tcPr>
            <w:tcW w:w="2942" w:type="dxa"/>
            <w:cnfStyle w:val="001000000000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Виды межбюджетных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трансфертов</w:t>
            </w:r>
          </w:p>
        </w:tc>
        <w:tc>
          <w:tcPr>
            <w:tcW w:w="3401" w:type="dxa"/>
            <w:tcBorders>
              <w:top w:val="single" w:sz="4" w:space="0" w:color="76923C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Определение</w:t>
            </w:r>
          </w:p>
        </w:tc>
        <w:tc>
          <w:tcPr>
            <w:tcW w:w="3578" w:type="dxa"/>
            <w:tcBorders>
              <w:top w:val="single" w:sz="4" w:space="0" w:color="76923C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Аналогия в семейном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бюджете</w:t>
            </w:r>
          </w:p>
        </w:tc>
      </w:tr>
      <w:tr>
        <w:trPr>
          <w:cnfStyle w:val="000000100000"/>
        </w:trPr>
        <w:tc>
          <w:tcPr>
            <w:tcW w:w="2942" w:type="dxa"/>
            <w:cnfStyle w:val="00100000000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Дотации (от лат.«Dotatio» –дар, пожертвование)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578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даете своему ребенку «карманные деньги»</w:t>
            </w:r>
          </w:p>
        </w:tc>
      </w:tr>
      <w:tr>
        <w:trPr>
          <w:trHeight w:val="2259" w:hRule="atLeast"/>
          <w:cnfStyle w:val="000000010000"/>
        </w:trPr>
        <w:tc>
          <w:tcPr>
            <w:tcW w:w="2942" w:type="dxa"/>
            <w:cnfStyle w:val="00100000000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Субвенции (от лат.Subveire»– приходить на помощь)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  <w:tc>
          <w:tcPr>
            <w:tcW w:w="3578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даете своему ребенку деньги и посылаете его в магазин купить продукты (по списку)</w:t>
            </w:r>
          </w:p>
        </w:tc>
      </w:tr>
      <w:tr>
        <w:trPr>
          <w:cnfStyle w:val="000000100000"/>
        </w:trPr>
        <w:tc>
          <w:tcPr>
            <w:tcW w:w="2942" w:type="dxa"/>
            <w:cnfStyle w:val="001000000000"/>
            <w:tcBorders>
              <w:top w:val="nil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Субсидии (от лат.«Subsidium» - поддержка)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на условиях долевого софинансирования расходов других бюджетов</w:t>
            </w:r>
          </w:p>
        </w:tc>
        <w:tc>
          <w:tcPr>
            <w:tcW w:w="3578" w:type="dxa"/>
            <w:tcBorders>
              <w:top w:val="nil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«добавляете» денег для того, чтобы ваш ребенок купил себе новый телефон (а остальные он накопит сам)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/>
        <w:drawing>
          <wp:inline distT="0" distB="0" distL="19050" distR="9525">
            <wp:extent cx="4295775" cy="2571750"/>
            <wp:effectExtent l="0" t="0" r="0" b="0"/>
            <wp:docPr id="9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/>
        <w:drawing>
          <wp:inline distT="0" distB="0" distL="19050" distR="9525">
            <wp:extent cx="6257925" cy="4457700"/>
            <wp:effectExtent l="0" t="0" r="0" b="0"/>
            <wp:docPr id="10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Налоги, зачисляемые в бюджет муниципального образования             в 2022 году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</w:r>
    </w:p>
    <w:tbl>
      <w:tblPr>
        <w:tblW w:w="9745" w:type="dxa"/>
        <w:jc w:val="left"/>
        <w:tblInd w:w="3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70"/>
        <w:gridCol w:w="3179"/>
        <w:gridCol w:w="3596"/>
      </w:tblGrid>
      <w:tr>
        <w:trPr/>
        <w:tc>
          <w:tcPr>
            <w:tcW w:w="2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5050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9FF33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66CCFF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>
        <w:trPr>
          <w:trHeight w:val="2153" w:hRule="atLeast"/>
        </w:trPr>
        <w:tc>
          <w:tcPr>
            <w:tcW w:w="97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  <w:r>
              <mc:AlternateContent>
                <mc:Choice Requires="wps">
                  <w:drawing>
                    <wp:anchor behindDoc="0" distT="0" distB="-17145" distL="114300" distR="97155" simplePos="0" locked="0" layoutInCell="1" allowOverlap="1" relativeHeight="6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1270</wp:posOffset>
                      </wp:positionV>
                      <wp:extent cx="876300" cy="823595"/>
                      <wp:effectExtent l="0" t="0" r="17145" b="17145"/>
                      <wp:wrapNone/>
                      <wp:docPr id="1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823595"/>
                              </a:xfrm>
                              <a:prstGeom prst="rect"/>
                              <a:solidFill>
                                <a:srgbClr val="FF5050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5050" strokecolor="#4F81BD" strokeweight="1pt" style="position:absolute;rotation:0;width:69pt;height:64.85pt;mso-wrap-distance-left:9pt;mso-wrap-distance-right:9pt;mso-wrap-distance-top:0pt;mso-wrap-distance-bottom:0pt;margin-top:0.1pt;mso-position-vertical-relative:text;margin-left:42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-17145" distL="114300" distR="97155" simplePos="0" locked="0" layoutInCell="1" allowOverlap="1" relativeHeight="7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2540</wp:posOffset>
                      </wp:positionV>
                      <wp:extent cx="809625" cy="824230"/>
                      <wp:effectExtent l="0" t="0" r="17145" b="17145"/>
                      <wp:wrapNone/>
                      <wp:docPr id="1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824230"/>
                              </a:xfrm>
                              <a:prstGeom prst="rect"/>
                              <a:solidFill>
                                <a:srgbClr val="66CCFF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66CCFF" strokecolor="#4F81BD" strokeweight="1pt" style="position:absolute;rotation:0;width:63.75pt;height:64.9pt;mso-wrap-distance-left:9pt;mso-wrap-distance-right:9pt;mso-wrap-distance-top:0pt;mso-wrap-distance-bottom:0pt;margin-top:0.2pt;mso-position-vertical-relative:text;margin-left:369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-17145" distL="114300" distR="97155" simplePos="0" locked="0" layoutInCell="1" allowOverlap="1" relativeHeight="8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2540</wp:posOffset>
                      </wp:positionV>
                      <wp:extent cx="828675" cy="823595"/>
                      <wp:effectExtent l="0" t="0" r="17145" b="17145"/>
                      <wp:wrapNone/>
                      <wp:docPr id="1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823595"/>
                              </a:xfrm>
                              <a:prstGeom prst="rect"/>
                              <a:solidFill>
                                <a:srgbClr val="99FF33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99FF33" strokecolor="#4F81BD" strokeweight="1pt" style="position:absolute;rotation:0;width:65.25pt;height:64.85pt;mso-wrap-distance-left:9pt;mso-wrap-distance-right:9pt;mso-wrap-distance-top:0pt;mso-wrap-distance-bottom:0pt;margin-top:0.2pt;mso-position-vertical-relative:text;margin-left:196.8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419" w:hRule="atLeast"/>
        </w:trPr>
        <w:tc>
          <w:tcPr>
            <w:tcW w:w="97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9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Arial" w:hAnsi="Arial"/>
              </w:rPr>
            </w:pPr>
            <w:r>
              <w:rPr/>
              <w:drawing>
                <wp:inline distT="0" distB="0" distL="19050" distR="9525">
                  <wp:extent cx="2276475" cy="1628775"/>
                  <wp:effectExtent l="0" t="0" r="0" b="0"/>
                  <wp:docPr id="14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Структура доходов бюджета Знаменского муниципального образования</w:t>
      </w:r>
    </w:p>
    <w:p>
      <w:pPr>
        <w:pStyle w:val="Normal"/>
        <w:tabs>
          <w:tab w:val="left" w:pos="4020" w:leader="none"/>
          <w:tab w:val="center" w:pos="4677" w:leader="none"/>
        </w:tabs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тыс.руб.</w:t>
      </w:r>
    </w:p>
    <w:tbl>
      <w:tblPr>
        <w:tblW w:w="9796" w:type="dxa"/>
        <w:jc w:val="left"/>
        <w:tblInd w:w="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5968"/>
        <w:gridCol w:w="1984"/>
        <w:gridCol w:w="1844"/>
      </w:tblGrid>
      <w:tr>
        <w:trPr>
          <w:trHeight w:val="322" w:hRule="atLeast"/>
        </w:trPr>
        <w:tc>
          <w:tcPr>
            <w:tcW w:w="59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9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 2022 года</w:t>
            </w:r>
          </w:p>
        </w:tc>
        <w:tc>
          <w:tcPr>
            <w:tcW w:w="18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 2022 года</w:t>
            </w:r>
          </w:p>
        </w:tc>
      </w:tr>
      <w:tr>
        <w:trPr>
          <w:trHeight w:val="322" w:hRule="atLeast"/>
        </w:trPr>
        <w:tc>
          <w:tcPr>
            <w:tcW w:w="596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98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 всего: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3761,7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4373,9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1228,1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1228,1</w:t>
            </w:r>
          </w:p>
        </w:tc>
      </w:tr>
      <w:tr>
        <w:trPr>
          <w:trHeight w:val="335" w:hRule="exac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701,9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1159,1</w:t>
            </w:r>
          </w:p>
        </w:tc>
      </w:tr>
      <w:tr>
        <w:trPr>
          <w:trHeight w:val="335" w:hRule="exac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210,0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210,0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134,8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134,8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1486,9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1641,9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 всего: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113,5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170,5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сдачи в аренду земельных участков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112,5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169,5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штрафы, санкции и возмещение ущерба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всего: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4992,4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4992,4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81,8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81,8</w:t>
            </w:r>
          </w:p>
        </w:tc>
      </w:tr>
      <w:tr>
        <w:trPr>
          <w:trHeight w:val="322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 бюджетам бюджетной системы Российской Федерации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4647,0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4647,0</w:t>
            </w:r>
          </w:p>
        </w:tc>
      </w:tr>
      <w:tr>
        <w:trPr>
          <w:trHeight w:val="322" w:hRule="atLeast"/>
        </w:trPr>
        <w:tc>
          <w:tcPr>
            <w:tcW w:w="59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9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263,6</w:t>
            </w:r>
          </w:p>
        </w:tc>
        <w:tc>
          <w:tcPr>
            <w:tcW w:w="18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263,6</w:t>
            </w:r>
          </w:p>
        </w:tc>
      </w:tr>
      <w:tr>
        <w:trPr>
          <w:trHeight w:val="322" w:hRule="atLeast"/>
        </w:trPr>
        <w:tc>
          <w:tcPr>
            <w:tcW w:w="5968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984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8867,6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9536,8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в 2022 году составили – 9536,8 тыс.руб.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6210300" cy="1600200"/>
            <wp:effectExtent l="0" t="0" r="0" b="0"/>
            <wp:docPr id="15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Знаменского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расчете на 1 жителя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(численность населения Знаменского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на 01.01.2022г. 1535человек) </w:t>
      </w:r>
    </w:p>
    <w:tbl>
      <w:tblPr>
        <w:tblStyle w:val="a6"/>
        <w:tblW w:w="9355" w:type="dxa"/>
        <w:jc w:val="left"/>
        <w:tblInd w:w="392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6519"/>
        <w:gridCol w:w="2835"/>
      </w:tblGrid>
      <w:tr>
        <w:trPr/>
        <w:tc>
          <w:tcPr>
            <w:tcW w:w="651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835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sz w:val="28"/>
                <w:szCs w:val="28"/>
              </w:rPr>
              <w:t>2022 год отчет (руб.)</w:t>
            </w:r>
          </w:p>
        </w:tc>
      </w:tr>
      <w:tr>
        <w:trPr/>
        <w:tc>
          <w:tcPr>
            <w:tcW w:w="651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28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6213,0</w:t>
            </w:r>
          </w:p>
        </w:tc>
      </w:tr>
      <w:tr>
        <w:trPr/>
        <w:tc>
          <w:tcPr>
            <w:tcW w:w="651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8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2961,0</w:t>
            </w:r>
          </w:p>
        </w:tc>
      </w:tr>
      <w:tr>
        <w:trPr/>
        <w:tc>
          <w:tcPr>
            <w:tcW w:w="651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8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3252,0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земельный налог, налог на доходы физических лиц и акцизы на нефтепродукты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drawing>
          <wp:inline distT="0" distB="0" distL="19050" distR="0">
            <wp:extent cx="6000750" cy="1875155"/>
            <wp:effectExtent l="0" t="0" r="0" b="0"/>
            <wp:docPr id="16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0">
            <wp:extent cx="4095750" cy="2314575"/>
            <wp:effectExtent l="0" t="0" r="0" b="0"/>
            <wp:docPr id="1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303" t="27052" r="30182" b="2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6350">
            <wp:extent cx="6203950" cy="4410075"/>
            <wp:effectExtent l="0" t="0" r="0" b="0"/>
            <wp:docPr id="18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0">
            <wp:extent cx="6191250" cy="3657600"/>
            <wp:effectExtent l="0" t="0" r="0" b="0"/>
            <wp:docPr id="19" name="Изображение2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2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42" t="5629" r="3412" b="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Знаменского муниципального образования по разделам за 2022 год.</w:t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  <w:tab/>
        <w:tab/>
        <w:tab/>
        <w:tab/>
        <w:tab/>
        <w:tab/>
        <w:tab/>
        <w:tab/>
      </w:r>
      <w:r>
        <w:rPr>
          <w:rFonts w:ascii="Times New Roman" w:hAnsi="Times New Roman"/>
          <w:sz w:val="28"/>
          <w:szCs w:val="28"/>
        </w:rPr>
        <w:tab/>
        <w:tab/>
        <w:tab/>
        <w:tab/>
        <w:t>%</w:t>
      </w:r>
    </w:p>
    <w:tbl>
      <w:tblPr>
        <w:tblW w:w="9639" w:type="dxa"/>
        <w:jc w:val="left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1063"/>
        <w:gridCol w:w="4763"/>
        <w:gridCol w:w="1985"/>
        <w:gridCol w:w="1827"/>
      </w:tblGrid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года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года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24,5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24,5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43,9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44,0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27,5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27,5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6229350" cy="2714625"/>
            <wp:effectExtent l="0" t="0" r="0" b="0"/>
            <wp:docPr id="20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>
      <w:pPr>
        <w:pStyle w:val="Normal"/>
        <w:spacing w:lineRule="auto" w:line="240"/>
        <w:jc w:val="right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right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Знаменского муниципального образования по основным разделам на душу населения</w:t>
        <w:tab/>
        <w:tab/>
      </w:r>
    </w:p>
    <w:p>
      <w:pPr>
        <w:pStyle w:val="Normal"/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9781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1276"/>
        <w:gridCol w:w="5670"/>
        <w:gridCol w:w="1418"/>
        <w:gridCol w:w="1416"/>
      </w:tblGrid>
      <w:tr>
        <w:trPr/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2022года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2022года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1955,20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1953,50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2203,22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2182,24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14,00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7974,90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7952,23</w:t>
            </w:r>
          </w:p>
        </w:tc>
      </w:tr>
    </w:tbl>
    <w:p>
      <w:pPr>
        <w:pStyle w:val="Normal"/>
        <w:spacing w:lineRule="auto" w:line="240"/>
        <w:ind w:left="6372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left="6372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left="6372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left="6372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руб.</w:t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5495925" cy="1905000"/>
            <wp:effectExtent l="0" t="0" r="0" b="0"/>
            <wp:docPr id="2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sz w:val="28"/>
          <w:szCs w:val="28"/>
        </w:rPr>
        <w:tab/>
        <w:tab/>
        <w:tab/>
        <w:tab/>
        <w:tab/>
        <w:tab/>
        <w:tab/>
        <w:tab/>
        <w:tab/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/>
        <w:drawing>
          <wp:inline distT="0" distB="0" distL="19050" distR="1270">
            <wp:extent cx="6285230" cy="923925"/>
            <wp:effectExtent l="0" t="0" r="0" b="0"/>
            <wp:docPr id="22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тыс.руб.</w:t>
      </w:r>
    </w:p>
    <w:tbl>
      <w:tblPr>
        <w:tblW w:w="9781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5387"/>
        <w:gridCol w:w="1701"/>
        <w:gridCol w:w="1417"/>
        <w:gridCol w:w="1275"/>
      </w:tblGrid>
      <w:tr>
        <w:trPr/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2022 года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Факт 2022года</w:t>
            </w:r>
          </w:p>
        </w:tc>
      </w:tr>
      <w:tr>
        <w:trPr>
          <w:trHeight w:val="1046" w:hRule="atLeast"/>
        </w:trPr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16" style="width:52.5pt;height:39pt" o:ole="">
                  <v:imagedata r:id="rId17" o:title=""/>
                </v:shape>
                <o:OLEObject Type="Embed" ProgID="PBrush" ShapeID="ole_rId16" DrawAspect="Content" ObjectID="_1772215312" r:id="rId16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3001,2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2998,6</w:t>
            </w:r>
          </w:p>
        </w:tc>
      </w:tr>
      <w:tr>
        <w:trPr/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drawing>
                <wp:inline distT="0" distB="2540" distL="0" distR="8890">
                  <wp:extent cx="524510" cy="473710"/>
                  <wp:effectExtent l="0" t="0" r="0" b="0"/>
                  <wp:docPr id="23" name="Рисунок 12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2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7122" t="31613" r="84042" b="57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263,6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263,6</w:t>
            </w:r>
          </w:p>
        </w:tc>
      </w:tr>
      <w:tr>
        <w:trPr/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19" style="width:48pt;height:42.75pt" o:ole="">
                  <v:imagedata r:id="rId20" o:title=""/>
                </v:shape>
                <o:OLEObject Type="Embed" ProgID="PBrush" ShapeID="ole_rId19" DrawAspect="Content" ObjectID="_1752122284" r:id="rId19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5364,0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5364,0</w:t>
            </w:r>
          </w:p>
        </w:tc>
      </w:tr>
      <w:tr>
        <w:trPr/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21" style="width:45pt;height:42pt" o:ole="">
                  <v:imagedata r:id="rId22" o:title=""/>
                </v:shape>
                <o:OLEObject Type="Embed" ProgID="PBrush" ShapeID="ole_rId21" DrawAspect="Content" ObjectID="_48268485" r:id="rId21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3382,0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3349,7</w:t>
            </w:r>
          </w:p>
        </w:tc>
      </w:tr>
      <w:tr>
        <w:trPr/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Образование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eastAsia="Calibri"/>
              </w:rPr>
            </w:pPr>
            <w:r>
              <w:rPr/>
              <w:object>
                <v:shape id="ole_rId23" style="width:45pt;height:37.5pt" o:ole="">
                  <v:imagedata r:id="rId24" o:title=""/>
                </v:shape>
                <o:OLEObject Type="Embed" ProgID="PBrush" ShapeID="ole_rId23" DrawAspect="Content" ObjectID="_1800251678" r:id="rId23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</w:tr>
      <w:tr>
        <w:trPr/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25" style="width:45.75pt;height:36.75pt" o:ole="">
                  <v:imagedata r:id="rId26" o:title=""/>
                </v:shape>
                <o:OLEObject Type="Embed" ProgID="PBrush" ShapeID="ole_rId25" DrawAspect="Content" ObjectID="_969797910" r:id="rId25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21,5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21,5</w:t>
            </w:r>
          </w:p>
        </w:tc>
      </w:tr>
      <w:tr>
        <w:trPr/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27" style="width:45pt;height:36.75pt" o:ole="">
                  <v:imagedata r:id="rId28" o:title=""/>
                </v:shape>
                <o:OLEObject Type="Embed" ProgID="PBrush" ShapeID="ole_rId27" DrawAspect="Content" ObjectID="_1258248127" r:id="rId27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206,7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206,8</w:t>
            </w:r>
          </w:p>
        </w:tc>
      </w:tr>
      <w:tr>
        <w:trPr/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12241,5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12206,7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45720" cy="47625"/>
            <wp:effectExtent l="0" t="0" r="0" b="0"/>
            <wp:docPr id="24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ConsPlusNonformat"/>
        <w:widowControl/>
        <w:jc w:val="center"/>
        <w:rPr>
          <w:rFonts w:ascii="Times New Roman" w:hAnsi="Times New Roman" w:cs="Times New Roman"/>
          <w:b/>
          <w:b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>Исполнение муниципальных программ бюджета Знаменского</w:t>
      </w:r>
    </w:p>
    <w:p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>муниципального района  за 2022 год</w:t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(тыс. рублей)</w:t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tbl>
      <w:tblPr>
        <w:tblW w:w="9781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5278"/>
        <w:gridCol w:w="1134"/>
        <w:gridCol w:w="1134"/>
        <w:gridCol w:w="2234"/>
      </w:tblGrid>
      <w:tr>
        <w:trPr>
          <w:trHeight w:val="1032" w:hRule="atLeast"/>
        </w:trPr>
        <w:tc>
          <w:tcPr>
            <w:tcW w:w="5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2022 г.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 2022 г.</w:t>
            </w:r>
          </w:p>
        </w:tc>
        <w:tc>
          <w:tcPr>
            <w:tcW w:w="22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2022 год</w:t>
            </w:r>
          </w:p>
        </w:tc>
      </w:tr>
      <w:tr>
        <w:trPr>
          <w:trHeight w:val="369" w:hRule="atLeast"/>
        </w:trPr>
        <w:tc>
          <w:tcPr>
            <w:tcW w:w="5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программа «Развитие Знаменского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8752,4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8720,2</w:t>
            </w:r>
          </w:p>
        </w:tc>
        <w:tc>
          <w:tcPr>
            <w:tcW w:w="22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</w:tr>
      <w:tr>
        <w:trPr>
          <w:trHeight w:val="369" w:hRule="atLeast"/>
        </w:trPr>
        <w:tc>
          <w:tcPr>
            <w:tcW w:w="5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8752,4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8720,2</w:t>
            </w:r>
          </w:p>
        </w:tc>
        <w:tc>
          <w:tcPr>
            <w:tcW w:w="22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 w:cs="Calibri"/>
          <w:b/>
          <w:b/>
          <w:sz w:val="32"/>
          <w:szCs w:val="32"/>
        </w:rPr>
      </w:pPr>
      <w:r>
        <w:rPr>
          <w:rFonts w:cs="Calibri"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Муниципальный долг в Знаменском муниципальном образовании по состоянию на 01.01.2023г. – отсутствует.</w:t>
      </w:r>
    </w:p>
    <w:p>
      <w:pPr>
        <w:pStyle w:val="NormalWeb"/>
        <w:spacing w:beforeAutospacing="0" w:before="0" w:after="20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="20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="2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drawing>
          <wp:inline distT="0" distB="0" distL="19050" distR="0">
            <wp:extent cx="4381500" cy="1409700"/>
            <wp:effectExtent l="0" t="0" r="0" b="0"/>
            <wp:docPr id="25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="20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="20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="20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Контактная информация: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Адрес:  Саратовская область, Ивантеевский район,  пос. Знамен</w:t>
      </w:r>
      <w:r>
        <w:rPr>
          <w:rFonts w:ascii="Times New Roman" w:hAnsi="Times New Roman"/>
          <w:sz w:val="28"/>
          <w:szCs w:val="28"/>
        </w:rPr>
        <w:t>ский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rPr/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График работы с 8-00 до 1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-12, перерыв с 12-00 до 13-00.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Телефоны  (8 84579 5-61-21)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Тел.5-61-21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Глава Знаменского муниципального образования     Уколова И.Н.                               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/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>
        <w:rPr>
          <w:rFonts w:ascii="Times New Roman" w:hAnsi="Times New Roman"/>
          <w:sz w:val="28"/>
          <w:szCs w:val="28"/>
          <w:u w:val="single"/>
        </w:rPr>
        <w:t>admznam@mail.ru</w:t>
      </w:r>
    </w:p>
    <w:sectPr>
      <w:type w:val="nextPage"/>
      <w:pgSz w:w="11906" w:h="16838"/>
      <w:pgMar w:left="1418" w:right="567" w:header="0" w:top="284" w:footer="0" w:bottom="28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c1dd2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4308b1"/>
    <w:rPr>
      <w:rFonts w:ascii="Tahoma" w:hAnsi="Tahoma" w:cs="Tahoma"/>
      <w:sz w:val="16"/>
      <w:szCs w:val="16"/>
      <w:lang w:eastAsia="en-US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NormalWeb">
    <w:name w:val="Normal (Web)"/>
    <w:basedOn w:val="Normal"/>
    <w:unhideWhenUsed/>
    <w:qFormat/>
    <w:rsid w:val="00bb1507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ru-RU"/>
    </w:rPr>
  </w:style>
  <w:style w:type="paragraph" w:styleId="Default" w:customStyle="1">
    <w:name w:val="Default"/>
    <w:qFormat/>
    <w:rsid w:val="000f7237"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4308b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35c"/>
    <w:pPr>
      <w:spacing w:before="0" w:after="200"/>
      <w:ind w:left="720" w:hanging="0"/>
      <w:contextualSpacing/>
    </w:pPr>
    <w:rPr>
      <w:rFonts w:eastAsia="Calibri"/>
    </w:rPr>
  </w:style>
  <w:style w:type="paragraph" w:styleId="ConsPlusNonformat" w:customStyle="1">
    <w:name w:val="ConsPlusNonformat"/>
    <w:qFormat/>
    <w:rsid w:val="008e4cb5"/>
    <w:pPr>
      <w:widowControl w:val="false"/>
      <w:bidi w:val="0"/>
      <w:jc w:val="left"/>
    </w:pPr>
    <w:rPr>
      <w:rFonts w:ascii="Courier New" w:hAnsi="Courier New" w:cs="Courier New" w:eastAsia="Times New Roman"/>
      <w:color w:val="auto"/>
      <w:sz w:val="22"/>
      <w:szCs w:val="20"/>
      <w:lang w:val="ru-RU" w:eastAsia="ru-RU" w:bidi="ar-SA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99"/>
    <w:rsid w:val="0036732b"/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f2067e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4">
    <w:name w:val="Medium Shading 1 Accent 4"/>
    <w:basedOn w:val="a1"/>
    <w:uiPriority w:val="63"/>
    <w:rsid w:val="00f2067e"/>
    <w:rPr>
      <w:rFonts w:asciiTheme="minorHAnsi" w:hAnsiTheme="minorHAnsi" w:eastAsiaTheme="minorEastAsia" w:cstheme="minorBidi"/>
      <w:lang w:val="en-US" w:eastAsia="en-US" w:bidi="en-US"/>
      <w:sz w:val="22"/>
      <w:szCs w:val="22"/>
    </w:r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sz="8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sz="6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chart" Target="charts/chart1.xml"/><Relationship Id="rId9" Type="http://schemas.openxmlformats.org/officeDocument/2006/relationships/image" Target="media/image7.jpeg"/><Relationship Id="rId10" Type="http://schemas.openxmlformats.org/officeDocument/2006/relationships/image" Target="media/image8.pn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chart" Target="charts/chart2.xml"/><Relationship Id="rId14" Type="http://schemas.openxmlformats.org/officeDocument/2006/relationships/chart" Target="charts/chart3.xml"/><Relationship Id="rId15" Type="http://schemas.openxmlformats.org/officeDocument/2006/relationships/image" Target="media/image11.jpeg"/><Relationship Id="rId16" Type="http://schemas.openxmlformats.org/officeDocument/2006/relationships/oleObject" Target="embeddings/oleObject1.bin"/><Relationship Id="rId17" Type="http://schemas.openxmlformats.org/officeDocument/2006/relationships/image" Target="media/image12.emf"/><Relationship Id="rId18" Type="http://schemas.openxmlformats.org/officeDocument/2006/relationships/image" Target="media/image13.jpeg"/><Relationship Id="rId19" Type="http://schemas.openxmlformats.org/officeDocument/2006/relationships/oleObject" Target="embeddings/oleObject2.bin"/><Relationship Id="rId20" Type="http://schemas.openxmlformats.org/officeDocument/2006/relationships/image" Target="media/image14.emf"/><Relationship Id="rId21" Type="http://schemas.openxmlformats.org/officeDocument/2006/relationships/oleObject" Target="embeddings/oleObject3.bin"/><Relationship Id="rId22" Type="http://schemas.openxmlformats.org/officeDocument/2006/relationships/image" Target="media/image15.emf"/><Relationship Id="rId23" Type="http://schemas.openxmlformats.org/officeDocument/2006/relationships/oleObject" Target="embeddings/oleObject4.bin"/><Relationship Id="rId24" Type="http://schemas.openxmlformats.org/officeDocument/2006/relationships/image" Target="media/image16.emf"/><Relationship Id="rId25" Type="http://schemas.openxmlformats.org/officeDocument/2006/relationships/oleObject" Target="embeddings/oleObject5.bin"/><Relationship Id="rId26" Type="http://schemas.openxmlformats.org/officeDocument/2006/relationships/image" Target="media/image17.emf"/><Relationship Id="rId27" Type="http://schemas.openxmlformats.org/officeDocument/2006/relationships/oleObject" Target="embeddings/oleObject6.bin"/><Relationship Id="rId28" Type="http://schemas.openxmlformats.org/officeDocument/2006/relationships/image" Target="media/image18.emf"/><Relationship Id="rId29" Type="http://schemas.openxmlformats.org/officeDocument/2006/relationships/chart" Target="charts/chart4.xml"/><Relationship Id="rId30" Type="http://schemas.openxmlformats.org/officeDocument/2006/relationships/image" Target="media/image19.jpeg"/><Relationship Id="rId31" Type="http://schemas.openxmlformats.org/officeDocument/2006/relationships/fontTable" Target="fontTable.xml"/><Relationship Id="rId32" Type="http://schemas.openxmlformats.org/officeDocument/2006/relationships/settings" Target="settings.xml"/><Relationship Id="rId33" Type="http://schemas.openxmlformats.org/officeDocument/2006/relationships/theme" Target="theme/theme1.xml"/><Relationship Id="rId34" Type="http://schemas.openxmlformats.org/officeDocument/2006/relationships/customXml" Target="../customXml/item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1.xlsx"/>
</Relationships>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2.xlsx"/>
</Relationships>
</file>

<file path=word/charts/_rels/chart3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3.xlsx"/>
</Relationships>
</file>

<file path=word/charts/_rels/chart4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4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0"/>
      <c:rAngAx val="0"/>
      <c:perspective val="30"/>
    </c:view3D>
    <c:floor>
      <c:spPr>
        <a:solidFill>
          <a:srgbClr val="d9d9d9"/>
        </a:solidFill>
        <a:ln>
          <a:noFill/>
        </a:ln>
      </c:spPr>
    </c:floor>
    <c:backWall>
      <c:spPr>
        <a:solidFill>
          <a:srgbClr val="d9d9d9"/>
        </a:solidFill>
        <a:ln>
          <a:noFill/>
        </a:ln>
      </c:spPr>
    </c:backWall>
    <c:plotArea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Доходы 2022г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explosion val="25"/>
          <c:dPt>
            <c:idx val="0"/>
            <c:spPr>
              <a:solidFill>
                <a:srgbClr val="4f81bd"/>
              </a:solidFill>
              <a:ln>
                <a:noFill/>
              </a:ln>
            </c:spPr>
          </c:dPt>
          <c:dPt>
            <c:idx val="1"/>
            <c:spPr>
              <a:solidFill>
                <a:srgbClr val="c0504d"/>
              </a:solidFill>
              <a:ln>
                <a:noFill/>
              </a:ln>
            </c:spPr>
          </c:dPt>
          <c:dPt>
            <c:idx val="2"/>
            <c:spPr>
              <a:solidFill>
                <a:srgbClr val="9bbb59"/>
              </a:solidFill>
              <a:ln>
                <a:noFill/>
              </a:ln>
            </c:spPr>
          </c:dPt>
          <c:dPt>
            <c:idx val="3"/>
            <c:spPr>
              <a:solidFill>
                <a:srgbClr val="8064a2"/>
              </a:solidFill>
              <a:ln>
                <a:noFill/>
              </a:ln>
            </c:spPr>
          </c:dPt>
          <c:dPt>
            <c:idx val="4"/>
            <c:spPr>
              <a:solidFill>
                <a:srgbClr val="4bacc6"/>
              </a:solidFill>
              <a:ln>
                <a:noFill/>
              </a:ln>
            </c:spPr>
          </c:dPt>
          <c:dPt>
            <c:idx val="5"/>
            <c:spPr>
              <a:solidFill>
                <a:srgbClr val="f79646"/>
              </a:solidFill>
              <a:ln>
                <a:noFill/>
              </a:ln>
            </c:spPr>
          </c:dPt>
          <c:dLbls>
            <c:dLbl>
              <c:idx val="0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1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2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3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4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5"/>
              <c:dLblPos val="bestFit"/>
              <c:showLegendKey val="0"/>
              <c:showVal val="0"/>
              <c:showCatName val="0"/>
              <c:showSerName val="0"/>
              <c:showPercent val="1"/>
            </c:dLbl>
            <c:dLblPos val="bestFit"/>
            <c:showLegendKey val="0"/>
            <c:showVal val="0"/>
            <c:showCatName val="0"/>
            <c:showSerName val="0"/>
            <c:showPercent val="1"/>
            <c:showLeaderLines val="0"/>
          </c:dLbls>
          <c:cat>
            <c:strRef>
              <c:f>categories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0.523</c:v>
                </c:pt>
                <c:pt idx="1">
                  <c:v>0.129</c:v>
                </c:pt>
                <c:pt idx="2">
                  <c:v>0.122</c:v>
                </c:pt>
                <c:pt idx="3">
                  <c:v>0.014</c:v>
                </c:pt>
                <c:pt idx="4">
                  <c:v>0.172</c:v>
                </c:pt>
                <c:pt idx="5">
                  <c:v>0.018</c:v>
                </c:pt>
              </c:numCache>
            </c:numRef>
          </c:val>
        </c:ser>
      </c:pie3DChart>
      <c:spPr>
        <a:solidFill>
          <a:srgbClr val="d9d9d9"/>
        </a:solidFill>
        <a:ln>
          <a:noFill/>
        </a:ln>
      </c:spPr>
    </c:plotArea>
    <c:legend>
      <c:layout>
        <c:manualLayout>
          <c:xMode val="edge"/>
          <c:yMode val="edge"/>
          <c:x val="0.63525"/>
          <c:y val="0.0558888888888889"/>
        </c:manualLayout>
      </c:layout>
      <c:spPr>
        <a:noFill/>
        <a:ln>
          <a:noFill/>
        </a:ln>
      </c:spPr>
    </c:legend>
    <c:plotVisOnly val="1"/>
    <c:dispBlanksAs val="zero"/>
  </c:chart>
  <c:spPr>
    <a:solidFill>
      <a:srgbClr val="ebf1de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noFill/>
        <a:ln w="9360">
          <a:solidFill>
            <a:srgbClr val="878787"/>
          </a:solidFill>
          <a:round/>
        </a:ln>
      </c:spPr>
    </c:floor>
    <c:backWall>
      <c:spPr>
        <a:noFill/>
        <a:ln w="9360">
          <a:solidFill>
            <a:srgbClr val="878787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4672a8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</c:v>
                </c:pt>
                <c:pt idx="1">
                  <c:v>Факт 2022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72.8</c:v>
                </c:pt>
                <c:pt idx="1">
                  <c:v>72.6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ab4744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</c:v>
                </c:pt>
                <c:pt idx="1">
                  <c:v>Факт 2022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6.5</c:v>
                </c:pt>
                <c:pt idx="1">
                  <c:v>6.5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8aa64f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</c:v>
                </c:pt>
                <c:pt idx="1">
                  <c:v>Факт 2022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0.3</c:v>
                </c:pt>
                <c:pt idx="1">
                  <c:v>0.3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4299b0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</c:v>
                </c:pt>
                <c:pt idx="1">
                  <c:v>Факт 2022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"/>
                <c:pt idx="0">
                  <c:v>15.6</c:v>
                </c:pt>
                <c:pt idx="1">
                  <c:v>15.6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dc853e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</c:v>
                </c:pt>
                <c:pt idx="1">
                  <c:v>Факт 2022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2"/>
                <c:pt idx="0">
                  <c:v>0.3</c:v>
                </c:pt>
                <c:pt idx="1">
                  <c:v>0.3</c:v>
                </c:pt>
              </c:numCache>
            </c:numRef>
          </c:val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культура,кинематография</c:v>
                </c:pt>
              </c:strCache>
            </c:strRef>
          </c:tx>
          <c:spPr>
            <a:solidFill>
              <a:srgbClr val="d09493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</c:v>
                </c:pt>
                <c:pt idx="1">
                  <c:v>Факт 2022</c:v>
                </c:pt>
              </c:strCache>
            </c:strRef>
          </c:cat>
          <c:val>
            <c:numRef>
              <c:f>5</c:f>
              <c:numCache>
                <c:formatCode>General</c:formatCode>
                <c:ptCount val="2"/>
                <c:pt idx="0">
                  <c:v>7</c:v>
                </c:pt>
                <c:pt idx="1">
                  <c:v/>
                </c:pt>
              </c:numCache>
            </c:numRef>
          </c:val>
        </c:ser>
        <c:ser>
          <c:idx val="6"/>
          <c:order val="6"/>
          <c:tx>
            <c:strRef>
              <c:f>label 6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93a9ce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</c:v>
                </c:pt>
                <c:pt idx="1">
                  <c:v>Факт 2022</c:v>
                </c:pt>
              </c:strCache>
            </c:strRef>
          </c:cat>
          <c:val>
            <c:numRef>
              <c:f>6</c:f>
              <c:numCache>
                <c:formatCode>General</c:formatCode>
                <c:ptCount val="2"/>
                <c:pt idx="0">
                  <c:v>4.5</c:v>
                </c:pt>
                <c:pt idx="1">
                  <c:v>4.5</c:v>
                </c:pt>
              </c:numCache>
            </c:numRef>
          </c:val>
        </c:ser>
        <c:gapWidth val="150"/>
        <c:shape val="box"/>
        <c:axId val="80277362"/>
        <c:axId val="45503874"/>
        <c:axId val="0"/>
      </c:bar3DChart>
      <c:catAx>
        <c:axId val="80277362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2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Times New Roman"/>
              </a:defRPr>
            </a:pPr>
          </a:p>
        </c:txPr>
        <c:crossAx val="45503874"/>
        <c:crosses val="autoZero"/>
        <c:auto val="1"/>
        <c:lblAlgn val="ctr"/>
        <c:lblOffset val="100"/>
      </c:catAx>
      <c:valAx>
        <c:axId val="45503874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0.0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80277362"/>
        <c:crosses val="autoZero"/>
        <c:crossBetween val="midCat"/>
      </c:valAx>
      <c:spPr>
        <a:noFill/>
        <a:ln w="9360">
          <a:solidFill>
            <a:srgbClr val="878787"/>
          </a:solidFill>
          <a:round/>
        </a:ln>
      </c:spPr>
    </c:plotArea>
    <c:legend>
      <c:legendPos val="r"/>
      <c:overlay val="0"/>
      <c:spPr>
        <a:noFill/>
        <a:ln>
          <a:noFill/>
        </a:ln>
      </c:spPr>
    </c:legend>
    <c:plotVisOnly val="1"/>
    <c:dispBlanksAs val="gap"/>
  </c:chart>
  <c:spPr>
    <a:solidFill>
      <a:srgbClr val="ebf1de"/>
    </a:solidFill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00ffff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1955.2</c:v>
                </c:pt>
                <c:pt idx="1">
                  <c:v>1953.5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f79646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1</c:v>
                </c:pt>
                <c:pt idx="1">
                  <c:v/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2203.2</c:v>
                </c:pt>
                <c:pt idx="1">
                  <c:v>2182.2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"/>
                <c:pt idx="0">
                  <c:v>14</c:v>
                </c:pt>
                <c:pt idx="1">
                  <c:v>14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2"/>
                <c:pt idx="0">
                  <c:v>7974.9</c:v>
                </c:pt>
                <c:pt idx="1">
                  <c:v>7952.2</c:v>
                </c:pt>
              </c:numCache>
            </c:numRef>
          </c:val>
        </c:ser>
        <c:gapWidth val="150"/>
        <c:shape val="box"/>
        <c:axId val="78368913"/>
        <c:axId val="64691781"/>
        <c:axId val="0"/>
      </c:bar3DChart>
      <c:catAx>
        <c:axId val="78368913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12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Times New Roman"/>
                <a:ea typeface="Arial Cyr"/>
              </a:defRPr>
            </a:pPr>
          </a:p>
        </c:txPr>
        <c:crossAx val="64691781"/>
        <c:crosses val="autoZero"/>
        <c:auto val="1"/>
        <c:lblAlgn val="ctr"/>
        <c:lblOffset val="100"/>
      </c:catAx>
      <c:valAx>
        <c:axId val="64691781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1197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Arial Cyr"/>
                <a:ea typeface="Arial Cyr"/>
              </a:defRPr>
            </a:pPr>
          </a:p>
        </c:txPr>
        <c:crossAx val="78368913"/>
        <c:crosses val="autoZero"/>
        <c:crossBetween val="midCat"/>
      </c:valAx>
      <c:spPr>
        <a:solidFill>
          <a:srgbClr val="00ffff"/>
        </a:solidFill>
        <a:ln w="12600">
          <a:solidFill>
            <a:srgbClr val="808080"/>
          </a:solidFill>
          <a:round/>
        </a:ln>
      </c:spPr>
    </c:plotArea>
    <c:legend>
      <c:layout>
        <c:manualLayout>
          <c:xMode val="edge"/>
          <c:yMode val="edge"/>
          <c:x val="0.694125"/>
          <c:y val="0.0847777777777778"/>
        </c:manualLayout>
      </c:layout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col"/>
        <c:grouping val="clustered"/>
        <c:varyColors val="0"/>
        <c:gapWidth val="100"/>
        <c:overlap val="0"/>
        <c:axId val="17323121"/>
        <c:axId val="31075215"/>
      </c:barChart>
      <c:catAx>
        <c:axId val="17323121"/>
        <c:scaling>
          <c:orientation val="minMax"/>
        </c:scaling>
        <c:delete val="1"/>
        <c:axPos val="b"/>
        <c:numFmt formatCode="DD/MM/YYYY" sourceLinked="1"/>
        <c:majorTickMark val="out"/>
        <c:minorTickMark val="none"/>
        <c:tickLblPos val="none"/>
        <c:spPr>
          <a:ln>
            <a:solidFill>
              <a:srgbClr val="b3b3b3"/>
            </a:solidFill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Arial"/>
              </a:defRPr>
            </a:pPr>
          </a:p>
        </c:txPr>
        <c:crossAx val="31075215"/>
        <c:crossesAt val="0"/>
        <c:auto val="1"/>
        <c:lblAlgn val="ctr"/>
        <c:lblOffset val="100"/>
      </c:catAx>
      <c:valAx>
        <c:axId val="31075215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spPr>
          <a:ln>
            <a:solidFill>
              <a:srgbClr val="b3b3b3"/>
            </a:solidFill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Arial"/>
              </a:defRPr>
            </a:pPr>
          </a:p>
        </c:txPr>
        <c:crossAx val="17323121"/>
        <c:crosses val="min"/>
        <c:crossBetween val="midCat"/>
      </c:valAx>
      <c:spPr>
        <a:noFill/>
        <a:ln w="25200">
          <a:noFill/>
        </a:ln>
      </c:spPr>
    </c:plotArea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12A825-8F60-4A44-A382-A7E20E50B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Application>LibreOffice/5.1.2.2$Windows_x86 LibreOffice_project/d3bf12ecb743fc0d20e0be0c58ca359301eb705f</Application>
  <Pages>11</Pages>
  <Words>784</Words>
  <Characters>5426</Characters>
  <CharactersWithSpaces>6354</CharactersWithSpaces>
  <Paragraphs>292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2021-03-10T11:14:00Z</dcterms:created>
  <dc:creator>пользователь</dc:creator>
  <dc:description/>
  <dc:language>ru-RU</dc:language>
  <cp:lastModifiedBy/>
  <cp:lastPrinted>2013-12-26T07:17:00Z</cp:lastPrinted>
  <dcterms:modified xsi:type="dcterms:W3CDTF">2023-05-24T10:41:41Z</dcterms:modified>
  <cp:revision>56</cp:revision>
  <dc:subject/>
  <dc:title>Уважаемые жители Ивантеевского муниципального района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